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1600" w:lineRule="exact"/>
        <w:jc w:val="center"/>
        <w:textAlignment w:val="auto"/>
        <w:outlineLvl w:val="0"/>
        <w:rPr>
          <w:rFonts w:hint="eastAsia" w:ascii="方正小标宋简体" w:hAnsi="方正小标宋简体" w:eastAsia="方正小标宋简体" w:cs="方正小标宋简体"/>
          <w:b w:val="0"/>
          <w:bCs w:val="0"/>
          <w:sz w:val="84"/>
          <w:szCs w:val="84"/>
          <w:lang w:val="en-US" w:eastAsia="zh-CN"/>
        </w:rPr>
      </w:pPr>
      <w:bookmarkStart w:id="0" w:name="_Toc22733"/>
      <w:r>
        <w:rPr>
          <w:rFonts w:hint="eastAsia" w:ascii="方正小标宋简体" w:hAnsi="方正小标宋简体" w:eastAsia="方正小标宋简体" w:cs="方正小标宋简体"/>
          <w:b w:val="0"/>
          <w:bCs w:val="0"/>
          <w:sz w:val="84"/>
          <w:szCs w:val="84"/>
          <w:lang w:val="en-US" w:eastAsia="zh-CN"/>
        </w:rPr>
        <w:t>南宁市工人文化宫</w:t>
      </w:r>
    </w:p>
    <w:p>
      <w:pPr>
        <w:pStyle w:val="5"/>
        <w:keepNext w:val="0"/>
        <w:keepLines w:val="0"/>
        <w:pageBreakBefore w:val="0"/>
        <w:widowControl w:val="0"/>
        <w:kinsoku/>
        <w:wordWrap/>
        <w:overflowPunct/>
        <w:topLinePunct w:val="0"/>
        <w:autoSpaceDE/>
        <w:autoSpaceDN/>
        <w:bidi w:val="0"/>
        <w:adjustRightInd/>
        <w:snapToGrid/>
        <w:spacing w:line="1600" w:lineRule="exact"/>
        <w:jc w:val="center"/>
        <w:textAlignment w:val="auto"/>
        <w:outlineLvl w:val="0"/>
        <w:rPr>
          <w:rFonts w:hint="eastAsia" w:ascii="方正小标宋简体" w:hAnsi="方正小标宋简体" w:eastAsia="方正小标宋简体" w:cs="方正小标宋简体"/>
          <w:b w:val="0"/>
          <w:bCs w:val="0"/>
          <w:sz w:val="84"/>
          <w:szCs w:val="84"/>
        </w:rPr>
      </w:pPr>
      <w:r>
        <w:rPr>
          <w:rFonts w:hint="eastAsia" w:ascii="方正小标宋简体" w:hAnsi="方正小标宋简体" w:eastAsia="方正小标宋简体" w:cs="方正小标宋简体"/>
          <w:b w:val="0"/>
          <w:bCs w:val="0"/>
          <w:sz w:val="84"/>
          <w:szCs w:val="84"/>
          <w:lang w:val="en-US" w:eastAsia="zh-CN"/>
        </w:rPr>
        <w:t>询价</w:t>
      </w:r>
      <w:r>
        <w:rPr>
          <w:rFonts w:hint="eastAsia" w:ascii="方正小标宋简体" w:hAnsi="方正小标宋简体" w:eastAsia="方正小标宋简体" w:cs="方正小标宋简体"/>
          <w:b w:val="0"/>
          <w:bCs w:val="0"/>
          <w:sz w:val="84"/>
          <w:szCs w:val="84"/>
        </w:rPr>
        <w:t>文件</w:t>
      </w:r>
      <w:bookmarkEnd w:id="0"/>
    </w:p>
    <w:p>
      <w:pPr>
        <w:rPr>
          <w:rFonts w:hint="eastAsia" w:ascii="方正小标宋简体" w:hAnsi="方正小标宋简体" w:eastAsia="方正小标宋简体" w:cs="方正小标宋简体"/>
          <w:b w:val="0"/>
          <w:bCs w:val="0"/>
          <w:sz w:val="84"/>
          <w:szCs w:val="84"/>
        </w:rPr>
      </w:pPr>
    </w:p>
    <w:p>
      <w:pPr>
        <w:pStyle w:val="2"/>
        <w:rPr>
          <w:rFonts w:hint="eastAsia"/>
        </w:rPr>
      </w:pPr>
    </w:p>
    <w:p>
      <w:pPr>
        <w:pStyle w:val="5"/>
        <w:spacing w:line="500" w:lineRule="exact"/>
        <w:ind w:firstLine="3570" w:firstLineChars="1700"/>
        <w:rPr>
          <w:rFonts w:hint="eastAsia" w:hAnsi="宋体"/>
          <w:lang w:val="en-US" w:eastAsia="zh-CN"/>
        </w:rPr>
      </w:pPr>
    </w:p>
    <w:p>
      <w:pPr>
        <w:pStyle w:val="5"/>
        <w:spacing w:line="500" w:lineRule="exact"/>
        <w:rPr>
          <w:rFonts w:hint="eastAsia" w:hAnsi="宋体"/>
          <w:sz w:val="84"/>
          <w:szCs w:val="84"/>
          <w:lang w:val="en-US" w:eastAsia="zh-CN"/>
        </w:rPr>
      </w:pPr>
      <w:r>
        <w:rPr>
          <w:rFonts w:hint="eastAsia" w:hAnsi="宋体"/>
          <w:sz w:val="84"/>
          <w:szCs w:val="84"/>
          <w:lang w:val="en-US" w:eastAsia="zh-CN"/>
        </w:rPr>
        <w:t xml:space="preserve">   </w:t>
      </w:r>
    </w:p>
    <w:p>
      <w:pPr>
        <w:pStyle w:val="5"/>
        <w:spacing w:line="500" w:lineRule="exact"/>
        <w:rPr>
          <w:rFonts w:hint="eastAsia" w:hAnsi="宋体"/>
          <w:sz w:val="84"/>
          <w:szCs w:val="84"/>
          <w:lang w:val="en-US" w:eastAsia="zh-CN"/>
        </w:rPr>
      </w:pPr>
    </w:p>
    <w:p>
      <w:pPr>
        <w:pStyle w:val="2"/>
        <w:rPr>
          <w:rFonts w:hint="eastAsia"/>
          <w:lang w:val="en-US" w:eastAsia="zh-CN"/>
        </w:rPr>
      </w:pPr>
    </w:p>
    <w:p>
      <w:pPr>
        <w:pStyle w:val="5"/>
        <w:spacing w:line="500" w:lineRule="exact"/>
        <w:rPr>
          <w:rFonts w:hAnsi="宋体"/>
        </w:rPr>
      </w:pPr>
      <w:r>
        <w:rPr>
          <w:rFonts w:hint="eastAsia" w:hAnsi="宋体"/>
          <w:sz w:val="84"/>
          <w:szCs w:val="84"/>
          <w:lang w:val="en-US" w:eastAsia="zh-CN"/>
        </w:rPr>
        <w:t xml:space="preserve">  </w:t>
      </w:r>
    </w:p>
    <w:p>
      <w:pPr>
        <w:pStyle w:val="5"/>
        <w:spacing w:line="500" w:lineRule="exact"/>
        <w:rPr>
          <w:rFonts w:hAnsi="宋体"/>
        </w:rPr>
      </w:pPr>
    </w:p>
    <w:p>
      <w:pPr>
        <w:ind w:left="2166" w:leftChars="171" w:hanging="1807" w:hangingChars="500"/>
        <w:rPr>
          <w:rFonts w:ascii="仿宋" w:hAnsi="仿宋" w:eastAsia="仿宋" w:cs="仿宋"/>
          <w:kern w:val="0"/>
          <w:sz w:val="36"/>
          <w:szCs w:val="36"/>
          <w:u w:val="single"/>
        </w:rPr>
      </w:pPr>
      <w:r>
        <w:rPr>
          <w:rFonts w:hint="eastAsia" w:ascii="仿宋" w:hAnsi="仿宋" w:eastAsia="仿宋" w:cs="仿宋"/>
          <w:b/>
          <w:bCs/>
          <w:kern w:val="0"/>
          <w:sz w:val="36"/>
          <w:szCs w:val="36"/>
        </w:rPr>
        <w:t>项目名称：</w:t>
      </w:r>
      <w:r>
        <w:rPr>
          <w:rFonts w:hint="eastAsia" w:ascii="仿宋" w:hAnsi="仿宋" w:eastAsia="仿宋" w:cs="仿宋"/>
          <w:kern w:val="0"/>
          <w:sz w:val="36"/>
          <w:szCs w:val="36"/>
          <w:u w:val="single"/>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“中国梦·劳动美——凝心铸魂跟党走  团结奋斗新征程”南宁市首届职工文化艺术节闭幕式展演舞台设备租赁服务项目                 </w:t>
      </w:r>
    </w:p>
    <w:p>
      <w:pPr>
        <w:autoSpaceDE w:val="0"/>
        <w:autoSpaceDN w:val="0"/>
        <w:adjustRightInd w:val="0"/>
        <w:spacing w:line="900" w:lineRule="exact"/>
        <w:ind w:firstLine="361" w:firstLineChars="100"/>
        <w:jc w:val="left"/>
        <w:outlineLvl w:val="0"/>
        <w:rPr>
          <w:rFonts w:ascii="仿宋" w:hAnsi="仿宋" w:eastAsia="仿宋" w:cs="仿宋"/>
          <w:sz w:val="36"/>
          <w:szCs w:val="36"/>
          <w:u w:val="single"/>
        </w:rPr>
      </w:pPr>
      <w:bookmarkStart w:id="1" w:name="_Toc31247"/>
      <w:r>
        <w:rPr>
          <w:rFonts w:hint="eastAsia" w:ascii="仿宋" w:hAnsi="仿宋" w:eastAsia="仿宋" w:cs="仿宋"/>
          <w:b/>
          <w:bCs/>
          <w:kern w:val="0"/>
          <w:sz w:val="36"/>
          <w:szCs w:val="36"/>
        </w:rPr>
        <w:t>采购单位：</w:t>
      </w:r>
      <w:r>
        <w:rPr>
          <w:rFonts w:hint="eastAsia" w:ascii="仿宋" w:hAnsi="仿宋" w:eastAsia="仿宋" w:cs="仿宋"/>
          <w:kern w:val="0"/>
          <w:sz w:val="36"/>
          <w:szCs w:val="36"/>
          <w:u w:val="single"/>
        </w:rPr>
        <w:t xml:space="preserve"> </w:t>
      </w:r>
      <w:r>
        <w:rPr>
          <w:rFonts w:hint="eastAsia" w:ascii="仿宋" w:hAnsi="仿宋" w:eastAsia="仿宋" w:cs="仿宋"/>
          <w:kern w:val="0"/>
          <w:sz w:val="36"/>
          <w:szCs w:val="36"/>
          <w:u w:val="single"/>
          <w:lang w:val="en-US" w:eastAsia="zh-CN"/>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bookmarkEnd w:id="1"/>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南宁市工人文化宫  </w:t>
      </w:r>
      <w:r>
        <w:rPr>
          <w:rFonts w:hint="eastAsia" w:ascii="仿宋" w:hAnsi="仿宋" w:eastAsia="仿宋" w:cs="仿宋"/>
          <w:kern w:val="0"/>
          <w:sz w:val="36"/>
          <w:szCs w:val="36"/>
          <w:u w:val="single"/>
        </w:rPr>
        <w:t xml:space="preserve">    </w:t>
      </w:r>
      <w:r>
        <w:rPr>
          <w:rFonts w:hint="eastAsia" w:ascii="仿宋" w:hAnsi="仿宋" w:eastAsia="仿宋" w:cs="仿宋"/>
          <w:kern w:val="0"/>
          <w:sz w:val="36"/>
          <w:szCs w:val="36"/>
          <w:u w:val="single"/>
          <w:lang w:val="en-US" w:eastAsia="zh-CN"/>
        </w:rPr>
        <w:t xml:space="preserve">         </w:t>
      </w:r>
      <w:r>
        <w:rPr>
          <w:rFonts w:hint="eastAsia" w:ascii="仿宋" w:hAnsi="仿宋" w:eastAsia="仿宋" w:cs="仿宋"/>
          <w:kern w:val="0"/>
          <w:sz w:val="36"/>
          <w:szCs w:val="36"/>
          <w:u w:val="single"/>
        </w:rPr>
        <w:t xml:space="preserve"> </w:t>
      </w:r>
    </w:p>
    <w:p>
      <w:pPr>
        <w:spacing w:line="900" w:lineRule="exact"/>
        <w:ind w:firstLine="361" w:firstLineChars="100"/>
        <w:rPr>
          <w:rFonts w:ascii="仿宋" w:hAnsi="仿宋" w:eastAsia="仿宋" w:cs="仿宋"/>
          <w:sz w:val="36"/>
          <w:szCs w:val="36"/>
          <w:u w:val="single"/>
        </w:rPr>
      </w:pPr>
      <w:r>
        <w:rPr>
          <w:rFonts w:hint="eastAsia" w:ascii="仿宋" w:hAnsi="仿宋" w:eastAsia="仿宋" w:cs="仿宋"/>
          <w:b/>
          <w:bCs/>
          <w:kern w:val="0"/>
          <w:sz w:val="36"/>
          <w:szCs w:val="36"/>
        </w:rPr>
        <w:t>编制时间：</w:t>
      </w:r>
      <w:r>
        <w:rPr>
          <w:rFonts w:hint="eastAsia" w:ascii="仿宋" w:hAnsi="仿宋" w:eastAsia="仿宋" w:cs="仿宋"/>
          <w:kern w:val="0"/>
          <w:sz w:val="36"/>
          <w:szCs w:val="36"/>
          <w:u w:val="single"/>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2024年9月  </w:t>
      </w:r>
      <w:r>
        <w:rPr>
          <w:rFonts w:hint="eastAsia" w:ascii="仿宋" w:hAnsi="仿宋" w:eastAsia="仿宋" w:cs="仿宋"/>
          <w:kern w:val="0"/>
          <w:sz w:val="36"/>
          <w:szCs w:val="36"/>
          <w:u w:val="single"/>
        </w:rPr>
        <w:t xml:space="preserve">    </w:t>
      </w:r>
      <w:r>
        <w:rPr>
          <w:rFonts w:hint="eastAsia" w:ascii="仿宋" w:hAnsi="仿宋" w:eastAsia="仿宋" w:cs="仿宋"/>
          <w:sz w:val="36"/>
          <w:szCs w:val="36"/>
          <w:u w:val="single"/>
        </w:rPr>
        <w:t xml:space="preserve">    </w:t>
      </w:r>
      <w:r>
        <w:rPr>
          <w:rFonts w:hint="eastAsia" w:ascii="仿宋" w:hAnsi="仿宋" w:eastAsia="仿宋" w:cs="仿宋"/>
          <w:sz w:val="36"/>
          <w:szCs w:val="36"/>
          <w:u w:val="single"/>
          <w:lang w:val="en-US" w:eastAsia="zh-CN"/>
        </w:rPr>
        <w:t xml:space="preserve">   </w:t>
      </w:r>
      <w:r>
        <w:rPr>
          <w:rFonts w:hint="eastAsia" w:ascii="仿宋" w:hAnsi="仿宋" w:eastAsia="仿宋" w:cs="仿宋"/>
          <w:sz w:val="36"/>
          <w:szCs w:val="36"/>
          <w:u w:val="single"/>
        </w:rPr>
        <w:t xml:space="preserve">     </w:t>
      </w:r>
    </w:p>
    <w:p>
      <w:pPr>
        <w:spacing w:line="400" w:lineRule="exact"/>
        <w:jc w:val="center"/>
        <w:rPr>
          <w:rFonts w:ascii="宋体" w:hAnsi="宋体"/>
          <w:b/>
          <w:sz w:val="32"/>
          <w:szCs w:val="32"/>
          <w:highlight w:val="yellow"/>
        </w:rPr>
      </w:pPr>
    </w:p>
    <w:p>
      <w:pPr>
        <w:spacing w:line="400" w:lineRule="exact"/>
        <w:jc w:val="center"/>
        <w:rPr>
          <w:rFonts w:ascii="宋体" w:hAnsi="宋体"/>
          <w:b/>
          <w:sz w:val="32"/>
          <w:szCs w:val="32"/>
          <w:highlight w:val="yellow"/>
        </w:rPr>
      </w:pPr>
    </w:p>
    <w:p>
      <w:pPr>
        <w:spacing w:line="480" w:lineRule="auto"/>
        <w:jc w:val="center"/>
        <w:rPr>
          <w:rFonts w:ascii="方正小标宋简体" w:hAnsi="方正小标宋简体" w:eastAsia="方正小标宋简体" w:cs="方正小标宋简体"/>
          <w:bCs/>
          <w:sz w:val="44"/>
          <w:szCs w:val="44"/>
        </w:rPr>
      </w:pPr>
      <w:r>
        <w:rPr>
          <w:rFonts w:hint="eastAsia" w:asciiTheme="majorEastAsia" w:hAnsiTheme="majorEastAsia" w:eastAsiaTheme="majorEastAsia" w:cstheme="majorEastAsia"/>
          <w:b/>
          <w:sz w:val="44"/>
          <w:szCs w:val="44"/>
        </w:rPr>
        <w:t>目   录</w:t>
      </w:r>
    </w:p>
    <w:p>
      <w:pPr>
        <w:spacing w:line="400" w:lineRule="exact"/>
        <w:jc w:val="center"/>
        <w:rPr>
          <w:rFonts w:ascii="宋体" w:hAnsi="宋体"/>
          <w:b/>
          <w:sz w:val="44"/>
          <w:szCs w:val="44"/>
          <w:highlight w:val="yellow"/>
        </w:rPr>
      </w:pPr>
    </w:p>
    <w:p>
      <w:pPr>
        <w:pStyle w:val="8"/>
        <w:tabs>
          <w:tab w:val="left" w:pos="1680"/>
          <w:tab w:val="right" w:leader="dot" w:pos="8450"/>
        </w:tabs>
        <w:spacing w:line="400" w:lineRule="exact"/>
        <w:rPr>
          <w:rFonts w:ascii="仿宋" w:hAnsi="仿宋" w:eastAsia="仿宋" w:cs="仿宋"/>
          <w:b/>
          <w:sz w:val="28"/>
          <w:szCs w:val="28"/>
          <w:highlight w:val="yellow"/>
        </w:rPr>
      </w:pPr>
      <w:r>
        <w:rPr>
          <w:rFonts w:hint="eastAsia" w:ascii="仿宋" w:hAnsi="仿宋" w:eastAsia="仿宋" w:cs="仿宋"/>
          <w:b/>
          <w:sz w:val="28"/>
          <w:szCs w:val="28"/>
          <w:highlight w:val="yellow"/>
        </w:rPr>
        <w:fldChar w:fldCharType="begin"/>
      </w:r>
      <w:r>
        <w:rPr>
          <w:rFonts w:hint="eastAsia" w:ascii="仿宋" w:hAnsi="仿宋" w:eastAsia="仿宋" w:cs="仿宋"/>
          <w:b/>
          <w:sz w:val="28"/>
          <w:szCs w:val="28"/>
          <w:highlight w:val="yellow"/>
        </w:rPr>
        <w:instrText xml:space="preserve"> TOC \o "1-3" \h \z \u </w:instrText>
      </w:r>
      <w:r>
        <w:rPr>
          <w:rFonts w:hint="eastAsia" w:ascii="仿宋" w:hAnsi="仿宋" w:eastAsia="仿宋" w:cs="仿宋"/>
          <w:b/>
          <w:sz w:val="28"/>
          <w:szCs w:val="28"/>
          <w:highlight w:val="yellow"/>
        </w:rPr>
        <w:fldChar w:fldCharType="separate"/>
      </w:r>
    </w:p>
    <w:sdt>
      <w:sdtPr>
        <w:rPr>
          <w:rFonts w:ascii="宋体" w:hAnsi="宋体"/>
        </w:rPr>
        <w:id w:val="147460137"/>
        <w15:color w:val="DBDBDB"/>
        <w:docPartObj>
          <w:docPartGallery w:val="Table of Contents"/>
          <w:docPartUnique/>
        </w:docPartObj>
      </w:sdtPr>
      <w:sdtEndPr>
        <w:rPr>
          <w:rFonts w:hint="eastAsia" w:ascii="宋体" w:hAnsi="宋体" w:cs="宋体"/>
          <w:sz w:val="32"/>
          <w:szCs w:val="32"/>
        </w:rPr>
      </w:sdtEndPr>
      <w:sdtContent>
        <w:p>
          <w:pPr>
            <w:jc w:val="center"/>
            <w:rPr>
              <w:rFonts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"1-1" \h \u </w:instrText>
          </w:r>
          <w:r>
            <w:rPr>
              <w:rFonts w:hint="eastAsia" w:ascii="宋体" w:hAnsi="宋体" w:cs="宋体"/>
              <w:sz w:val="32"/>
              <w:szCs w:val="32"/>
            </w:rPr>
            <w:fldChar w:fldCharType="separate"/>
          </w:r>
        </w:p>
        <w:p>
          <w:pPr>
            <w:pStyle w:val="16"/>
            <w:tabs>
              <w:tab w:val="right" w:leader="dot" w:pos="8306"/>
            </w:tabs>
            <w:rPr>
              <w:rFonts w:ascii="宋体" w:hAnsi="宋体" w:cs="宋体"/>
              <w:sz w:val="32"/>
              <w:szCs w:val="32"/>
            </w:rPr>
          </w:pPr>
          <w:r>
            <w:fldChar w:fldCharType="begin"/>
          </w:r>
          <w:r>
            <w:instrText xml:space="preserve"> HYPERLINK \l "_Toc28814" </w:instrText>
          </w:r>
          <w:r>
            <w:fldChar w:fldCharType="separate"/>
          </w:r>
          <w:r>
            <w:rPr>
              <w:rFonts w:hint="eastAsia" w:ascii="宋体" w:hAnsi="宋体" w:cs="宋体"/>
              <w:sz w:val="32"/>
              <w:szCs w:val="32"/>
            </w:rPr>
            <w:t xml:space="preserve">第一章 </w:t>
          </w:r>
          <w:r>
            <w:rPr>
              <w:rFonts w:hint="eastAsia" w:ascii="宋体" w:hAnsi="宋体" w:cs="宋体"/>
              <w:sz w:val="32"/>
              <w:szCs w:val="32"/>
              <w:lang w:val="en-US" w:eastAsia="zh-CN"/>
            </w:rPr>
            <w:t>询价公告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_Toc28814 \h </w:instrText>
          </w:r>
          <w:r>
            <w:rPr>
              <w:rFonts w:hint="eastAsia" w:ascii="宋体" w:hAnsi="宋体" w:cs="宋体"/>
              <w:sz w:val="32"/>
              <w:szCs w:val="32"/>
            </w:rPr>
            <w:fldChar w:fldCharType="separate"/>
          </w:r>
          <w:r>
            <w:rPr>
              <w:rFonts w:hint="eastAsia" w:ascii="宋体" w:hAnsi="宋体" w:cs="宋体"/>
              <w:sz w:val="32"/>
              <w:szCs w:val="32"/>
            </w:rPr>
            <w:t>3</w:t>
          </w:r>
          <w:r>
            <w:rPr>
              <w:rFonts w:hint="eastAsia" w:ascii="宋体" w:hAnsi="宋体" w:cs="宋体"/>
              <w:sz w:val="32"/>
              <w:szCs w:val="32"/>
            </w:rPr>
            <w:fldChar w:fldCharType="end"/>
          </w:r>
          <w:r>
            <w:rPr>
              <w:rFonts w:hint="eastAsia" w:ascii="宋体" w:hAnsi="宋体" w:cs="宋体"/>
              <w:sz w:val="32"/>
              <w:szCs w:val="32"/>
            </w:rPr>
            <w:fldChar w:fldCharType="end"/>
          </w:r>
        </w:p>
        <w:p>
          <w:pPr>
            <w:pStyle w:val="16"/>
            <w:tabs>
              <w:tab w:val="right" w:leader="dot" w:pos="8306"/>
            </w:tabs>
            <w:rPr>
              <w:rFonts w:ascii="宋体" w:hAnsi="宋体" w:cs="宋体"/>
              <w:sz w:val="32"/>
              <w:szCs w:val="32"/>
            </w:rPr>
          </w:pPr>
          <w:r>
            <w:fldChar w:fldCharType="begin"/>
          </w:r>
          <w:r>
            <w:instrText xml:space="preserve"> HYPERLINK \l "_Toc29747" </w:instrText>
          </w:r>
          <w:r>
            <w:fldChar w:fldCharType="separate"/>
          </w:r>
          <w:r>
            <w:rPr>
              <w:rFonts w:hint="eastAsia" w:ascii="宋体" w:hAnsi="宋体" w:cs="宋体"/>
              <w:sz w:val="32"/>
              <w:szCs w:val="32"/>
            </w:rPr>
            <w:t>第二章 供应商须知</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_Toc29747 \h </w:instrText>
          </w:r>
          <w:r>
            <w:rPr>
              <w:rFonts w:hint="eastAsia" w:ascii="宋体" w:hAnsi="宋体" w:cs="宋体"/>
              <w:sz w:val="32"/>
              <w:szCs w:val="32"/>
            </w:rPr>
            <w:fldChar w:fldCharType="separate"/>
          </w:r>
          <w:r>
            <w:rPr>
              <w:rFonts w:hint="eastAsia" w:ascii="宋体" w:hAnsi="宋体" w:cs="宋体"/>
              <w:sz w:val="32"/>
              <w:szCs w:val="32"/>
            </w:rPr>
            <w:t>5</w:t>
          </w:r>
          <w:r>
            <w:rPr>
              <w:rFonts w:hint="eastAsia" w:ascii="宋体" w:hAnsi="宋体" w:cs="宋体"/>
              <w:sz w:val="32"/>
              <w:szCs w:val="32"/>
            </w:rPr>
            <w:fldChar w:fldCharType="end"/>
          </w:r>
          <w:r>
            <w:rPr>
              <w:rFonts w:hint="eastAsia" w:ascii="宋体" w:hAnsi="宋体" w:cs="宋体"/>
              <w:sz w:val="32"/>
              <w:szCs w:val="32"/>
            </w:rPr>
            <w:fldChar w:fldCharType="end"/>
          </w:r>
        </w:p>
        <w:p>
          <w:pPr>
            <w:pStyle w:val="16"/>
            <w:tabs>
              <w:tab w:val="right" w:leader="dot" w:pos="8306"/>
            </w:tabs>
            <w:rPr>
              <w:rFonts w:ascii="宋体" w:hAnsi="宋体" w:cs="宋体"/>
              <w:sz w:val="32"/>
              <w:szCs w:val="32"/>
            </w:rPr>
          </w:pPr>
          <w:r>
            <w:fldChar w:fldCharType="begin"/>
          </w:r>
          <w:r>
            <w:instrText xml:space="preserve"> HYPERLINK \l "_Toc4622" </w:instrText>
          </w:r>
          <w:r>
            <w:fldChar w:fldCharType="separate"/>
          </w:r>
          <w:r>
            <w:rPr>
              <w:rFonts w:hint="eastAsia" w:ascii="宋体" w:hAnsi="宋体" w:cs="宋体"/>
              <w:sz w:val="32"/>
              <w:szCs w:val="32"/>
            </w:rPr>
            <w:t>第三章 采购需求</w:t>
          </w:r>
          <w:r>
            <w:rPr>
              <w:rFonts w:hint="eastAsia" w:ascii="宋体" w:hAnsi="宋体" w:cs="宋体"/>
              <w:sz w:val="32"/>
              <w:szCs w:val="32"/>
            </w:rPr>
            <w:tab/>
          </w:r>
          <w:r>
            <w:rPr>
              <w:rFonts w:hint="eastAsia" w:ascii="宋体" w:hAnsi="宋体" w:cs="宋体"/>
              <w:sz w:val="32"/>
              <w:szCs w:val="32"/>
              <w:lang w:val="en-US" w:eastAsia="zh-CN"/>
            </w:rPr>
            <w:t>9</w:t>
          </w:r>
          <w:r>
            <w:rPr>
              <w:rFonts w:hint="eastAsia" w:ascii="宋体" w:hAnsi="宋体" w:cs="宋体"/>
              <w:sz w:val="32"/>
              <w:szCs w:val="32"/>
            </w:rPr>
            <w:fldChar w:fldCharType="end"/>
          </w:r>
        </w:p>
        <w:p>
          <w:pPr>
            <w:pStyle w:val="16"/>
            <w:tabs>
              <w:tab w:val="right" w:leader="dot" w:pos="8306"/>
            </w:tabs>
            <w:rPr>
              <w:rFonts w:hint="eastAsia" w:ascii="宋体" w:hAnsi="宋体" w:eastAsia="宋体" w:cs="宋体"/>
              <w:sz w:val="32"/>
              <w:szCs w:val="32"/>
              <w:lang w:val="en-US" w:eastAsia="zh-CN"/>
            </w:rPr>
          </w:pPr>
          <w:r>
            <w:fldChar w:fldCharType="begin"/>
          </w:r>
          <w:r>
            <w:instrText xml:space="preserve"> HYPERLINK \l "_Toc25484" </w:instrText>
          </w:r>
          <w:r>
            <w:fldChar w:fldCharType="separate"/>
          </w:r>
          <w:r>
            <w:rPr>
              <w:rFonts w:hint="eastAsia" w:ascii="宋体" w:hAnsi="宋体" w:cs="宋体"/>
              <w:sz w:val="32"/>
              <w:szCs w:val="32"/>
            </w:rPr>
            <w:t>第四章 评</w:t>
          </w:r>
          <w:r>
            <w:rPr>
              <w:rFonts w:hint="eastAsia" w:ascii="宋体" w:hAnsi="宋体" w:cs="宋体"/>
              <w:sz w:val="32"/>
              <w:szCs w:val="32"/>
              <w:lang w:val="en-US" w:eastAsia="zh-CN"/>
            </w:rPr>
            <w:t>定</w:t>
          </w:r>
          <w:r>
            <w:rPr>
              <w:rFonts w:hint="eastAsia" w:ascii="宋体" w:hAnsi="宋体" w:cs="宋体"/>
              <w:sz w:val="32"/>
              <w:szCs w:val="32"/>
            </w:rPr>
            <w:t>方法</w:t>
          </w:r>
          <w:r>
            <w:rPr>
              <w:rFonts w:hint="eastAsia" w:ascii="宋体" w:hAnsi="宋体" w:cs="宋体"/>
              <w:sz w:val="32"/>
              <w:szCs w:val="32"/>
            </w:rPr>
            <w:tab/>
          </w:r>
          <w:r>
            <w:rPr>
              <w:rFonts w:hint="eastAsia" w:ascii="宋体" w:hAnsi="宋体" w:cs="宋体"/>
              <w:sz w:val="32"/>
              <w:szCs w:val="32"/>
              <w:lang w:val="en-US" w:eastAsia="zh-CN"/>
            </w:rPr>
            <w:t>1</w:t>
          </w:r>
          <w:r>
            <w:rPr>
              <w:rFonts w:hint="eastAsia" w:ascii="宋体" w:hAnsi="宋体" w:cs="宋体"/>
              <w:sz w:val="32"/>
              <w:szCs w:val="32"/>
            </w:rPr>
            <w:fldChar w:fldCharType="end"/>
          </w:r>
          <w:r>
            <w:rPr>
              <w:rFonts w:hint="eastAsia" w:ascii="宋体" w:hAnsi="宋体" w:cs="宋体"/>
              <w:sz w:val="32"/>
              <w:szCs w:val="32"/>
              <w:lang w:val="en-US" w:eastAsia="zh-CN"/>
            </w:rPr>
            <w:t>1</w:t>
          </w:r>
        </w:p>
        <w:p>
          <w:pPr>
            <w:pStyle w:val="16"/>
            <w:tabs>
              <w:tab w:val="right" w:leader="dot" w:pos="8306"/>
            </w:tabs>
            <w:rPr>
              <w:rFonts w:hint="eastAsia" w:ascii="宋体" w:hAnsi="宋体" w:eastAsia="宋体" w:cs="宋体"/>
              <w:sz w:val="32"/>
              <w:szCs w:val="32"/>
              <w:lang w:val="en-US" w:eastAsia="zh-CN"/>
            </w:rPr>
          </w:pPr>
          <w:r>
            <w:fldChar w:fldCharType="begin"/>
          </w:r>
          <w:r>
            <w:instrText xml:space="preserve"> HYPERLINK \l "_Toc5364" </w:instrText>
          </w:r>
          <w:r>
            <w:fldChar w:fldCharType="separate"/>
          </w:r>
          <w:r>
            <w:rPr>
              <w:rFonts w:hint="eastAsia" w:ascii="宋体" w:hAnsi="宋体" w:cs="宋体"/>
              <w:sz w:val="32"/>
              <w:szCs w:val="32"/>
            </w:rPr>
            <w:t>第</w:t>
          </w:r>
          <w:r>
            <w:rPr>
              <w:rFonts w:hint="eastAsia" w:ascii="宋体" w:hAnsi="宋体" w:cs="宋体"/>
              <w:sz w:val="32"/>
              <w:szCs w:val="32"/>
              <w:lang w:val="en-US" w:eastAsia="zh-CN"/>
            </w:rPr>
            <w:t>五</w:t>
          </w:r>
          <w:r>
            <w:rPr>
              <w:rFonts w:hint="eastAsia" w:ascii="宋体" w:hAnsi="宋体" w:cs="宋体"/>
              <w:sz w:val="32"/>
              <w:szCs w:val="32"/>
            </w:rPr>
            <w:t>章 合同主要条款</w:t>
          </w:r>
          <w:r>
            <w:rPr>
              <w:rFonts w:hint="eastAsia" w:ascii="宋体" w:hAnsi="宋体" w:cs="宋体"/>
              <w:sz w:val="32"/>
              <w:szCs w:val="32"/>
            </w:rPr>
            <w:tab/>
          </w:r>
          <w:r>
            <w:rPr>
              <w:rFonts w:hint="eastAsia" w:ascii="宋体" w:hAnsi="宋体" w:cs="宋体"/>
              <w:sz w:val="32"/>
              <w:szCs w:val="32"/>
              <w:lang w:val="en-US" w:eastAsia="zh-CN"/>
            </w:rPr>
            <w:t>1</w:t>
          </w:r>
          <w:r>
            <w:rPr>
              <w:rFonts w:hint="eastAsia" w:ascii="宋体" w:hAnsi="宋体" w:cs="宋体"/>
              <w:sz w:val="32"/>
              <w:szCs w:val="32"/>
            </w:rPr>
            <w:fldChar w:fldCharType="end"/>
          </w:r>
          <w:r>
            <w:rPr>
              <w:rFonts w:hint="eastAsia" w:ascii="宋体" w:hAnsi="宋体" w:cs="宋体"/>
              <w:sz w:val="32"/>
              <w:szCs w:val="32"/>
              <w:lang w:val="en-US" w:eastAsia="zh-CN"/>
            </w:rPr>
            <w:t>3</w:t>
          </w:r>
        </w:p>
        <w:p>
          <w:pPr>
            <w:rPr>
              <w:rFonts w:ascii="宋体" w:hAnsi="宋体" w:cs="宋体"/>
              <w:sz w:val="32"/>
              <w:szCs w:val="32"/>
            </w:rPr>
          </w:pPr>
          <w:r>
            <w:rPr>
              <w:rFonts w:hint="eastAsia" w:ascii="宋体" w:hAnsi="宋体" w:cs="宋体"/>
              <w:sz w:val="32"/>
              <w:szCs w:val="32"/>
            </w:rPr>
            <w:fldChar w:fldCharType="end"/>
          </w:r>
        </w:p>
      </w:sdtContent>
    </w:sdt>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pPr>
      <w:r>
        <w:rPr>
          <w:rFonts w:hint="eastAsia" w:ascii="仿宋" w:hAnsi="仿宋" w:eastAsia="仿宋" w:cs="仿宋"/>
          <w:b/>
          <w:sz w:val="28"/>
          <w:szCs w:val="28"/>
          <w:highlight w:val="yellow"/>
        </w:rPr>
        <w:fldChar w:fldCharType="end"/>
      </w: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pPr>
    </w:p>
    <w:p>
      <w:pPr>
        <w:pStyle w:val="2"/>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pPr>
    </w:p>
    <w:p>
      <w:pPr>
        <w:pStyle w:val="2"/>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pPr>
    </w:p>
    <w:p>
      <w:pPr>
        <w:pStyle w:val="2"/>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pPr>
    </w:p>
    <w:p>
      <w:pPr>
        <w:pStyle w:val="2"/>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pPr>
    </w:p>
    <w:p>
      <w:pPr>
        <w:pStyle w:val="2"/>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pPr>
    </w:p>
    <w:p>
      <w:pPr>
        <w:pStyle w:val="2"/>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黑体" w:eastAsia="黑体"/>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第一章 询价公告</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由南宁市总工会主办、南宁市工人文化宫承办的“中国梦·劳动美——凝心铸魂跟党走  团结奋斗新征程”南宁市首届职工文化艺术节闭幕式展演拟于</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在文化宫职工广场开展，拟</w:t>
      </w:r>
      <w:r>
        <w:rPr>
          <w:rFonts w:hint="eastAsia" w:ascii="仿宋_GB2312" w:hAnsi="仿宋_GB2312" w:eastAsia="仿宋_GB2312" w:cs="仿宋_GB2312"/>
          <w:color w:val="000000" w:themeColor="text1"/>
          <w:sz w:val="32"/>
          <w:szCs w:val="32"/>
          <w14:textFill>
            <w14:solidFill>
              <w14:schemeClr w14:val="tx1"/>
            </w14:solidFill>
          </w14:textFill>
        </w:rPr>
        <w:t>采取询价</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确定展演舞台设备租赁服务供应商</w:t>
      </w:r>
      <w:r>
        <w:rPr>
          <w:rFonts w:hint="eastAsia" w:ascii="仿宋_GB2312" w:hAnsi="仿宋_GB2312" w:eastAsia="仿宋_GB2312" w:cs="仿宋_GB2312"/>
          <w:color w:val="000000" w:themeColor="text1"/>
          <w:sz w:val="32"/>
          <w:szCs w:val="32"/>
          <w14:textFill>
            <w14:solidFill>
              <w14:schemeClr w14:val="tx1"/>
            </w14:solidFill>
          </w14:textFill>
        </w:rPr>
        <w:t>，现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公开</w:t>
      </w:r>
      <w:r>
        <w:rPr>
          <w:rFonts w:hint="eastAsia" w:ascii="仿宋_GB2312" w:hAnsi="仿宋_GB2312" w:eastAsia="仿宋_GB2312" w:cs="仿宋_GB2312"/>
          <w:color w:val="000000" w:themeColor="text1"/>
          <w:sz w:val="32"/>
          <w:szCs w:val="32"/>
          <w14:textFill>
            <w14:solidFill>
              <w14:schemeClr w14:val="tx1"/>
            </w14:solidFill>
          </w14:textFill>
        </w:rPr>
        <w:t>邀请询价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有关事项说明如下：</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黑体" w:hAnsi="黑体" w:eastAsia="黑体" w:cs="仿宋"/>
          <w:b w:val="0"/>
          <w:bCs/>
          <w:color w:val="000000" w:themeColor="text1"/>
          <w:sz w:val="32"/>
          <w:szCs w:val="32"/>
          <w:lang w:val="en-US" w:eastAsia="zh-CN"/>
          <w14:textFill>
            <w14:solidFill>
              <w14:schemeClr w14:val="tx1"/>
            </w14:solidFill>
          </w14:textFill>
        </w:rPr>
      </w:pPr>
      <w:r>
        <w:rPr>
          <w:rFonts w:hint="eastAsia" w:ascii="黑体" w:hAnsi="黑体" w:eastAsia="黑体" w:cs="仿宋"/>
          <w:b w:val="0"/>
          <w:bCs/>
          <w:color w:val="000000" w:themeColor="text1"/>
          <w:sz w:val="32"/>
          <w:szCs w:val="32"/>
          <w:lang w:val="en-US" w:eastAsia="zh-CN"/>
          <w14:textFill>
            <w14:solidFill>
              <w14:schemeClr w14:val="tx1"/>
            </w14:solidFill>
          </w14:textFill>
        </w:rPr>
        <w:t>一</w:t>
      </w:r>
      <w:r>
        <w:rPr>
          <w:rFonts w:hint="eastAsia" w:ascii="黑体" w:hAnsi="黑体" w:eastAsia="黑体" w:cs="仿宋"/>
          <w:b w:val="0"/>
          <w:bCs/>
          <w:color w:val="000000" w:themeColor="text1"/>
          <w:sz w:val="32"/>
          <w:szCs w:val="32"/>
          <w14:textFill>
            <w14:solidFill>
              <w14:schemeClr w14:val="tx1"/>
            </w14:solidFill>
          </w14:textFill>
        </w:rPr>
        <w:t>、</w:t>
      </w:r>
      <w:r>
        <w:rPr>
          <w:rFonts w:hint="eastAsia" w:ascii="黑体" w:hAnsi="黑体" w:eastAsia="黑体" w:cs="仿宋"/>
          <w:b w:val="0"/>
          <w:bCs/>
          <w:color w:val="000000" w:themeColor="text1"/>
          <w:sz w:val="32"/>
          <w:szCs w:val="32"/>
          <w:lang w:val="en-US" w:eastAsia="zh-CN"/>
          <w14:textFill>
            <w14:solidFill>
              <w14:schemeClr w14:val="tx1"/>
            </w14:solidFill>
          </w14:textFill>
        </w:rPr>
        <w:t>项目详情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14:textFill>
            <w14:solidFill>
              <w14:schemeClr w14:val="tx1"/>
            </w14:solidFill>
          </w14:textFill>
        </w:rPr>
        <w:t>（一）项目名称：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“中国梦·劳动美——凝心铸魂跟党走  团结奋斗新征程”南宁市首届职工文化艺术节-闭幕式展演舞台设备租赁项目。</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二</w:t>
      </w:r>
      <w:r>
        <w:rPr>
          <w:rFonts w:hint="eastAsia" w:ascii="仿宋_GB2312" w:hAnsi="仿宋_GB2312" w:eastAsia="仿宋_GB2312" w:cs="仿宋_GB2312"/>
          <w:b w:val="0"/>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项目时间：2024年9月27日。</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（三）项目地点：兴宁区民主路20号文化宫职工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广场。</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14:textFill>
            <w14:solidFill>
              <w14:schemeClr w14:val="tx1"/>
            </w14:solidFill>
          </w14:textFill>
        </w:rPr>
        <w:t>（</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四</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项目</w:t>
      </w:r>
      <w:r>
        <w:rPr>
          <w:rFonts w:hint="eastAsia" w:ascii="仿宋_GB2312" w:hAnsi="仿宋_GB2312" w:eastAsia="仿宋_GB2312" w:cs="仿宋_GB2312"/>
          <w:b w:val="0"/>
          <w:bCs/>
          <w:color w:val="000000" w:themeColor="text1"/>
          <w:sz w:val="32"/>
          <w:szCs w:val="32"/>
          <w14:textFill>
            <w14:solidFill>
              <w14:schemeClr w14:val="tx1"/>
            </w14:solidFill>
          </w14:textFill>
        </w:rPr>
        <w:t>费用</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上控价</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人民币42700</w:t>
      </w:r>
      <w:r>
        <w:rPr>
          <w:rFonts w:hint="eastAsia" w:ascii="仿宋_GB2312" w:hAnsi="仿宋_GB2312" w:eastAsia="仿宋_GB2312" w:cs="仿宋_GB2312"/>
          <w:b w:val="0"/>
          <w:bCs/>
          <w:color w:val="000000" w:themeColor="text1"/>
          <w:sz w:val="32"/>
          <w:szCs w:val="32"/>
          <w14:textFill>
            <w14:solidFill>
              <w14:schemeClr w14:val="tx1"/>
            </w14:solidFill>
          </w14:textFill>
        </w:rPr>
        <w:t>元</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整</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黑体" w:hAnsi="黑体" w:eastAsia="黑体" w:cs="仿宋"/>
          <w:b w:val="0"/>
          <w:bCs/>
          <w:color w:val="000000" w:themeColor="text1"/>
          <w:sz w:val="32"/>
          <w:szCs w:val="32"/>
          <w:lang w:val="en-US"/>
          <w14:textFill>
            <w14:solidFill>
              <w14:schemeClr w14:val="tx1"/>
            </w14:solidFill>
          </w14:textFill>
        </w:rPr>
      </w:pP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询价内容及要求详见询价文件。</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仿宋"/>
          <w:b/>
          <w:color w:val="000000" w:themeColor="text1"/>
          <w:sz w:val="32"/>
          <w:szCs w:val="32"/>
          <w14:textFill>
            <w14:solidFill>
              <w14:schemeClr w14:val="tx1"/>
            </w14:solidFill>
          </w14:textFill>
        </w:rPr>
      </w:pPr>
      <w:r>
        <w:rPr>
          <w:rFonts w:hint="eastAsia" w:ascii="黑体" w:hAnsi="黑体" w:eastAsia="黑体" w:cs="仿宋"/>
          <w:b w:val="0"/>
          <w:bCs/>
          <w:color w:val="000000" w:themeColor="text1"/>
          <w:sz w:val="32"/>
          <w:szCs w:val="32"/>
          <w:lang w:val="en-US" w:eastAsia="zh-CN"/>
          <w14:textFill>
            <w14:solidFill>
              <w14:schemeClr w14:val="tx1"/>
            </w14:solidFill>
          </w14:textFill>
        </w:rPr>
        <w:t>二</w:t>
      </w:r>
      <w:r>
        <w:rPr>
          <w:rFonts w:hint="eastAsia" w:ascii="黑体" w:hAnsi="黑体" w:eastAsia="黑体" w:cs="仿宋"/>
          <w:b w:val="0"/>
          <w:bCs/>
          <w:color w:val="000000" w:themeColor="text1"/>
          <w:sz w:val="32"/>
          <w:szCs w:val="32"/>
          <w14:textFill>
            <w14:solidFill>
              <w14:schemeClr w14:val="tx1"/>
            </w14:solidFill>
          </w14:textFill>
        </w:rPr>
        <w:t>、</w:t>
      </w:r>
      <w:r>
        <w:rPr>
          <w:rFonts w:hint="eastAsia" w:ascii="黑体" w:hAnsi="黑体" w:eastAsia="黑体" w:cs="仿宋"/>
          <w:b w:val="0"/>
          <w:bCs/>
          <w:color w:val="000000" w:themeColor="text1"/>
          <w:sz w:val="32"/>
          <w:szCs w:val="32"/>
          <w:lang w:val="en-US" w:eastAsia="zh-CN"/>
          <w14:textFill>
            <w14:solidFill>
              <w14:schemeClr w14:val="tx1"/>
            </w14:solidFill>
          </w14:textFill>
        </w:rPr>
        <w:t>供应商资格</w:t>
      </w:r>
      <w:bookmarkStart w:id="4" w:name="_GoBack"/>
      <w:bookmarkEnd w:id="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（一）具有</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与演出活动相关资质并且能</w:t>
      </w:r>
      <w:r>
        <w:rPr>
          <w:rFonts w:hint="eastAsia" w:ascii="仿宋_GB2312" w:hAnsi="仿宋_GB2312" w:eastAsia="仿宋_GB2312" w:cs="仿宋_GB2312"/>
          <w:color w:val="000000" w:themeColor="text1"/>
          <w:kern w:val="0"/>
          <w:sz w:val="32"/>
          <w:szCs w:val="32"/>
          <w14:textFill>
            <w14:solidFill>
              <w14:schemeClr w14:val="tx1"/>
            </w14:solidFill>
          </w14:textFill>
        </w:rPr>
        <w:t>独立承担民事责任能力的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公司。</w:t>
      </w:r>
    </w:p>
    <w:p>
      <w:pPr>
        <w:spacing w:line="4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在“信用中国”网站(www.creditchina.gov.cn)未被列入失信被执行人、重大税收违法失信主体、企业经营异常名录的供应商。企业信誉良好，无不良劣迹</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本次询价</w:t>
      </w:r>
      <w:r>
        <w:rPr>
          <w:rFonts w:hint="eastAsia" w:ascii="仿宋_GB2312" w:hAnsi="仿宋_GB2312" w:eastAsia="仿宋_GB2312" w:cs="仿宋_GB2312"/>
          <w:color w:val="000000" w:themeColor="text1"/>
          <w:kern w:val="0"/>
          <w:sz w:val="32"/>
          <w:szCs w:val="32"/>
          <w14:textFill>
            <w14:solidFill>
              <w14:schemeClr w14:val="tx1"/>
            </w14:solidFill>
          </w14:textFill>
        </w:rPr>
        <w:t>不接受联合体报价。</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黑体" w:hAnsi="黑体" w:eastAsia="黑体" w:cs="仿宋"/>
          <w:b w:val="0"/>
          <w:bCs/>
          <w:color w:val="000000" w:themeColor="text1"/>
          <w:sz w:val="32"/>
          <w:szCs w:val="32"/>
          <w:lang w:val="en-US" w:eastAsia="zh-CN"/>
          <w14:textFill>
            <w14:solidFill>
              <w14:schemeClr w14:val="tx1"/>
            </w14:solidFill>
          </w14:textFill>
        </w:rPr>
      </w:pPr>
      <w:r>
        <w:rPr>
          <w:rFonts w:hint="eastAsia" w:ascii="黑体" w:hAnsi="黑体" w:eastAsia="黑体" w:cs="仿宋"/>
          <w:b w:val="0"/>
          <w:bCs/>
          <w:color w:val="000000" w:themeColor="text1"/>
          <w:sz w:val="32"/>
          <w:szCs w:val="32"/>
          <w:lang w:val="en-US" w:eastAsia="zh-CN"/>
          <w14:textFill>
            <w14:solidFill>
              <w14:schemeClr w14:val="tx1"/>
            </w14:solidFill>
          </w14:textFill>
        </w:rPr>
        <w:t>三、认定方式</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本次询价采取综合评分法确定租赁项目服务供应商。</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仿宋"/>
          <w:b w:val="0"/>
          <w:bCs/>
          <w:color w:val="000000" w:themeColor="text1"/>
          <w:sz w:val="32"/>
          <w:szCs w:val="32"/>
          <w:lang w:eastAsia="zh-CN"/>
          <w14:textFill>
            <w14:solidFill>
              <w14:schemeClr w14:val="tx1"/>
            </w14:solidFill>
          </w14:textFill>
        </w:rPr>
      </w:pPr>
      <w:r>
        <w:rPr>
          <w:rFonts w:hint="eastAsia" w:ascii="黑体" w:hAnsi="黑体" w:eastAsia="黑体" w:cs="仿宋"/>
          <w:b w:val="0"/>
          <w:bCs/>
          <w:color w:val="000000" w:themeColor="text1"/>
          <w:sz w:val="32"/>
          <w:szCs w:val="32"/>
          <w:lang w:val="en-US" w:eastAsia="zh-CN"/>
          <w14:textFill>
            <w14:solidFill>
              <w14:schemeClr w14:val="tx1"/>
            </w14:solidFill>
          </w14:textFill>
        </w:rPr>
        <w:t>四</w:t>
      </w:r>
      <w:r>
        <w:rPr>
          <w:rFonts w:hint="eastAsia" w:ascii="黑体" w:hAnsi="黑体" w:eastAsia="黑体" w:cs="仿宋"/>
          <w:b w:val="0"/>
          <w:bCs/>
          <w:color w:val="000000" w:themeColor="text1"/>
          <w:sz w:val="32"/>
          <w:szCs w:val="32"/>
          <w14:textFill>
            <w14:solidFill>
              <w14:schemeClr w14:val="tx1"/>
            </w14:solidFill>
          </w14:textFill>
        </w:rPr>
        <w:t>、</w:t>
      </w:r>
      <w:r>
        <w:rPr>
          <w:rFonts w:hint="eastAsia" w:ascii="黑体" w:hAnsi="黑体" w:eastAsia="黑体" w:cs="仿宋"/>
          <w:b w:val="0"/>
          <w:bCs/>
          <w:color w:val="000000" w:themeColor="text1"/>
          <w:sz w:val="32"/>
          <w:szCs w:val="32"/>
          <w:lang w:val="en-US" w:eastAsia="zh-CN"/>
          <w14:textFill>
            <w14:solidFill>
              <w14:schemeClr w14:val="tx1"/>
            </w14:solidFill>
          </w14:textFill>
        </w:rPr>
        <w:t>响应</w:t>
      </w:r>
      <w:r>
        <w:rPr>
          <w:rFonts w:hint="eastAsia" w:ascii="黑体" w:hAnsi="黑体" w:eastAsia="黑体" w:cs="仿宋"/>
          <w:b w:val="0"/>
          <w:bCs/>
          <w:color w:val="000000" w:themeColor="text1"/>
          <w:sz w:val="32"/>
          <w:szCs w:val="32"/>
          <w14:textFill>
            <w14:solidFill>
              <w14:schemeClr w14:val="tx1"/>
            </w14:solidFill>
          </w14:textFill>
        </w:rPr>
        <w:t>文件</w:t>
      </w:r>
      <w:r>
        <w:rPr>
          <w:rFonts w:hint="eastAsia" w:ascii="黑体" w:hAnsi="黑体" w:eastAsia="黑体" w:cs="仿宋"/>
          <w:b w:val="0"/>
          <w:bCs/>
          <w:color w:val="000000" w:themeColor="text1"/>
          <w:sz w:val="32"/>
          <w:szCs w:val="32"/>
          <w:lang w:val="en-US" w:eastAsia="zh-CN"/>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14:textFill>
            <w14:solidFill>
              <w14:schemeClr w14:val="tx1"/>
            </w14:solidFill>
          </w14:textFill>
        </w:rPr>
        <w:t>（一）</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响应文件需包含：供应商资质证明材料、项目报价、项目实施保障材料、服务承诺书、业绩案例、供应商征信材料。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（二）2024年9月23日上午10:00前送达南宁市工人文化宫。</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黑体" w:hAnsi="黑体" w:eastAsia="黑体" w:cs="仿宋"/>
          <w:b w:val="0"/>
          <w:bCs/>
          <w:color w:val="000000" w:themeColor="text1"/>
          <w:sz w:val="32"/>
          <w:szCs w:val="32"/>
          <w:lang w:val="en-US" w:eastAsia="zh-CN"/>
          <w14:textFill>
            <w14:solidFill>
              <w14:schemeClr w14:val="tx1"/>
            </w14:solidFill>
          </w14:textFill>
        </w:rPr>
      </w:pPr>
      <w:r>
        <w:rPr>
          <w:rFonts w:hint="eastAsia" w:ascii="黑体" w:hAnsi="黑体" w:eastAsia="黑体" w:cs="仿宋"/>
          <w:b w:val="0"/>
          <w:bCs/>
          <w:color w:val="000000" w:themeColor="text1"/>
          <w:sz w:val="32"/>
          <w:szCs w:val="32"/>
          <w:lang w:val="en-US" w:eastAsia="zh-CN"/>
          <w14:textFill>
            <w14:solidFill>
              <w14:schemeClr w14:val="tx1"/>
            </w14:solidFill>
          </w14:textFill>
        </w:rPr>
        <w:t>五</w:t>
      </w:r>
      <w:r>
        <w:rPr>
          <w:rFonts w:hint="eastAsia" w:ascii="黑体" w:hAnsi="黑体" w:eastAsia="黑体" w:cs="仿宋"/>
          <w:b w:val="0"/>
          <w:bCs/>
          <w:color w:val="000000" w:themeColor="text1"/>
          <w:sz w:val="32"/>
          <w:szCs w:val="32"/>
          <w14:textFill>
            <w14:solidFill>
              <w14:schemeClr w14:val="tx1"/>
            </w14:solidFill>
          </w14:textFill>
        </w:rPr>
        <w:t>、</w:t>
      </w:r>
      <w:r>
        <w:rPr>
          <w:rFonts w:hint="eastAsia" w:ascii="黑体" w:hAnsi="黑体" w:eastAsia="黑体" w:cs="仿宋"/>
          <w:b w:val="0"/>
          <w:bCs/>
          <w:color w:val="000000" w:themeColor="text1"/>
          <w:sz w:val="32"/>
          <w:szCs w:val="32"/>
          <w:lang w:val="en-US" w:eastAsia="zh-CN"/>
          <w14:textFill>
            <w14:solidFill>
              <w14:schemeClr w14:val="tx1"/>
            </w14:solidFill>
          </w14:textFill>
        </w:rPr>
        <w:t>符合</w:t>
      </w:r>
      <w:r>
        <w:rPr>
          <w:rFonts w:hint="eastAsia" w:ascii="黑体" w:hAnsi="黑体" w:eastAsia="黑体" w:cs="仿宋"/>
          <w:b w:val="0"/>
          <w:bCs/>
          <w:color w:val="000000" w:themeColor="text1"/>
          <w:sz w:val="32"/>
          <w:szCs w:val="32"/>
          <w14:textFill>
            <w14:solidFill>
              <w14:schemeClr w14:val="tx1"/>
            </w14:solidFill>
          </w14:textFill>
        </w:rPr>
        <w:t>下列情形之一者为</w:t>
      </w:r>
      <w:r>
        <w:rPr>
          <w:rFonts w:hint="eastAsia" w:ascii="黑体" w:hAnsi="黑体" w:eastAsia="黑体" w:cs="仿宋"/>
          <w:b w:val="0"/>
          <w:bCs/>
          <w:color w:val="000000" w:themeColor="text1"/>
          <w:sz w:val="32"/>
          <w:szCs w:val="32"/>
          <w:lang w:val="en-US" w:eastAsia="zh-CN"/>
          <w14:textFill>
            <w14:solidFill>
              <w14:schemeClr w14:val="tx1"/>
            </w14:solidFill>
          </w14:textFill>
        </w:rPr>
        <w:t>不合格响应文件</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（一）</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响应</w:t>
      </w:r>
      <w:r>
        <w:rPr>
          <w:rFonts w:hint="eastAsia" w:ascii="仿宋_GB2312" w:hAnsi="仿宋_GB2312" w:eastAsia="仿宋_GB2312" w:cs="仿宋_GB2312"/>
          <w:b w:val="0"/>
          <w:bCs/>
          <w:color w:val="000000" w:themeColor="text1"/>
          <w:sz w:val="32"/>
          <w:szCs w:val="32"/>
          <w14:textFill>
            <w14:solidFill>
              <w14:schemeClr w14:val="tx1"/>
            </w14:solidFill>
          </w14:textFill>
        </w:rPr>
        <w:t>文件的内容和询价文件有实质性背离的；</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（二）</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响应</w:t>
      </w:r>
      <w:r>
        <w:rPr>
          <w:rFonts w:hint="eastAsia" w:ascii="仿宋_GB2312" w:hAnsi="仿宋_GB2312" w:eastAsia="仿宋_GB2312" w:cs="仿宋_GB2312"/>
          <w:b w:val="0"/>
          <w:bCs/>
          <w:color w:val="000000" w:themeColor="text1"/>
          <w:sz w:val="32"/>
          <w:szCs w:val="32"/>
          <w14:textFill>
            <w14:solidFill>
              <w14:schemeClr w14:val="tx1"/>
            </w14:solidFill>
          </w14:textFill>
        </w:rPr>
        <w:t>文件在截</w:t>
      </w:r>
      <w:r>
        <w:rPr>
          <w:rFonts w:hint="eastAsia" w:ascii="仿宋_GB2312" w:hAnsi="仿宋_GB2312" w:eastAsia="仿宋_GB2312" w:cs="仿宋_GB2312"/>
          <w:color w:val="000000" w:themeColor="text1"/>
          <w:sz w:val="32"/>
          <w:szCs w:val="32"/>
          <w14:textFill>
            <w14:solidFill>
              <w14:schemeClr w14:val="tx1"/>
            </w14:solidFill>
          </w14:textFill>
        </w:rPr>
        <w:t>止时间后送达的；</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响应</w:t>
      </w:r>
      <w:r>
        <w:rPr>
          <w:rFonts w:hint="eastAsia" w:ascii="仿宋_GB2312" w:hAnsi="仿宋_GB2312" w:eastAsia="仿宋_GB2312" w:cs="仿宋_GB2312"/>
          <w:color w:val="000000" w:themeColor="text1"/>
          <w:sz w:val="32"/>
          <w:szCs w:val="32"/>
          <w14:textFill>
            <w14:solidFill>
              <w14:schemeClr w14:val="tx1"/>
            </w14:solidFill>
          </w14:textFill>
        </w:rPr>
        <w:t>文件没有密封送达的；</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报</w:t>
      </w:r>
      <w:r>
        <w:rPr>
          <w:rFonts w:hint="eastAsia" w:ascii="仿宋_GB2312" w:hAnsi="仿宋_GB2312" w:eastAsia="仿宋_GB2312" w:cs="仿宋_GB2312"/>
          <w:b w:val="0"/>
          <w:bCs/>
          <w:color w:val="000000" w:themeColor="text1"/>
          <w:sz w:val="32"/>
          <w:szCs w:val="32"/>
          <w14:textFill>
            <w14:solidFill>
              <w14:schemeClr w14:val="tx1"/>
            </w14:solidFill>
          </w14:textFill>
        </w:rPr>
        <w:t>价</w:t>
      </w:r>
      <w:r>
        <w:rPr>
          <w:rFonts w:hint="eastAsia" w:ascii="仿宋_GB2312" w:hAnsi="仿宋_GB2312" w:eastAsia="仿宋_GB2312" w:cs="仿宋_GB2312"/>
          <w:color w:val="000000" w:themeColor="text1"/>
          <w:sz w:val="32"/>
          <w:szCs w:val="32"/>
          <w14:textFill>
            <w14:solidFill>
              <w14:schemeClr w14:val="tx1"/>
            </w14:solidFill>
          </w14:textFill>
        </w:rPr>
        <w:t>明显背离市场合理价位的。</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仿宋"/>
          <w:b w:val="0"/>
          <w:bCs/>
          <w:color w:val="000000" w:themeColor="text1"/>
          <w:sz w:val="32"/>
          <w:szCs w:val="32"/>
          <w14:textFill>
            <w14:solidFill>
              <w14:schemeClr w14:val="tx1"/>
            </w14:solidFill>
          </w14:textFill>
        </w:rPr>
      </w:pPr>
      <w:r>
        <w:rPr>
          <w:rFonts w:hint="eastAsia" w:ascii="黑体" w:hAnsi="黑体" w:eastAsia="黑体" w:cs="仿宋"/>
          <w:b w:val="0"/>
          <w:bCs/>
          <w:color w:val="000000" w:themeColor="text1"/>
          <w:sz w:val="32"/>
          <w:szCs w:val="32"/>
          <w:lang w:val="en-US" w:eastAsia="zh-CN"/>
          <w14:textFill>
            <w14:solidFill>
              <w14:schemeClr w14:val="tx1"/>
            </w14:solidFill>
          </w14:textFill>
        </w:rPr>
        <w:t>六</w:t>
      </w:r>
      <w:r>
        <w:rPr>
          <w:rFonts w:hint="eastAsia" w:ascii="黑体" w:hAnsi="黑体" w:eastAsia="黑体" w:cs="仿宋"/>
          <w:b w:val="0"/>
          <w:bCs/>
          <w:color w:val="000000" w:themeColor="text1"/>
          <w:sz w:val="32"/>
          <w:szCs w:val="32"/>
          <w14:textFill>
            <w14:solidFill>
              <w14:schemeClr w14:val="tx1"/>
            </w14:solidFill>
          </w14:textFill>
        </w:rPr>
        <w:t>、其他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询价文件的解释权属于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中国梦·劳动美——凝心铸魂跟党走  团结奋斗新征程”南宁市首届职工文化艺术节领导小组</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杨忠达</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联系电话</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0771-2637433</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兴宁区</w:t>
      </w:r>
      <w:r>
        <w:rPr>
          <w:rFonts w:hint="eastAsia" w:ascii="仿宋_GB2312" w:hAnsi="仿宋_GB2312" w:eastAsia="仿宋_GB2312" w:cs="仿宋_GB2312"/>
          <w:color w:val="000000" w:themeColor="text1"/>
          <w:sz w:val="32"/>
          <w:szCs w:val="32"/>
          <w14:textFill>
            <w14:solidFill>
              <w14:schemeClr w14:val="tx1"/>
            </w14:solidFill>
          </w14:textFill>
        </w:rPr>
        <w:t>民主路20号南宁市</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文化宫综合办公楼306室</w:t>
      </w:r>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 </w:t>
      </w:r>
    </w:p>
    <w:p>
      <w:pPr>
        <w:pStyle w:val="2"/>
        <w:ind w:left="0" w:leftChars="0" w:firstLine="0" w:firstLineChars="0"/>
        <w:rPr>
          <w:rFonts w:hint="eastAsia"/>
          <w:lang w:val="en-US" w:eastAsia="zh-CN"/>
        </w:rPr>
      </w:pPr>
    </w:p>
    <w:p>
      <w:pPr>
        <w:pStyle w:val="2"/>
        <w:rPr>
          <w:rFonts w:hint="eastAsia"/>
          <w:lang w:val="en-US" w:eastAsia="zh-CN"/>
        </w:rPr>
      </w:pPr>
    </w:p>
    <w:p>
      <w:pPr>
        <w:pStyle w:val="5"/>
        <w:rPr>
          <w:rFonts w:hint="eastAsia"/>
          <w:lang w:val="en-US" w:eastAsia="zh-CN"/>
        </w:rPr>
      </w:pPr>
    </w:p>
    <w:p>
      <w:pPr>
        <w:keepNext w:val="0"/>
        <w:keepLines w:val="0"/>
        <w:pageBreakBefore w:val="0"/>
        <w:widowControl w:val="0"/>
        <w:kinsoku/>
        <w:wordWrap/>
        <w:overflowPunct/>
        <w:topLinePunct w:val="0"/>
        <w:autoSpaceDE w:val="0"/>
        <w:autoSpaceDN/>
        <w:bidi w:val="0"/>
        <w:adjustRightInd/>
        <w:snapToGrid/>
        <w:spacing w:line="560" w:lineRule="exact"/>
        <w:ind w:left="1918" w:leftChars="304" w:hanging="1280" w:hangingChars="400"/>
        <w:jc w:val="righ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南宁市工人文化宫</w:t>
      </w:r>
    </w:p>
    <w:p>
      <w:pPr>
        <w:keepNext w:val="0"/>
        <w:keepLines w:val="0"/>
        <w:pageBreakBefore w:val="0"/>
        <w:widowControl w:val="0"/>
        <w:kinsoku/>
        <w:wordWrap/>
        <w:overflowPunct/>
        <w:topLinePunct w:val="0"/>
        <w:autoSpaceDE w:val="0"/>
        <w:autoSpaceDN/>
        <w:bidi w:val="0"/>
        <w:adjustRightInd/>
        <w:snapToGrid/>
        <w:spacing w:line="560" w:lineRule="exact"/>
        <w:ind w:left="1918" w:leftChars="304" w:hanging="1280" w:hangingChars="400"/>
        <w:jc w:val="righ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2024年9月18日</w:t>
      </w:r>
    </w:p>
    <w:p>
      <w:pPr>
        <w:pStyle w:val="5"/>
        <w:rPr>
          <w:rFonts w:hint="eastAsia"/>
          <w:lang w:val="en-US" w:eastAsia="zh-CN"/>
        </w:rPr>
      </w:pPr>
    </w:p>
    <w:p>
      <w:pPr>
        <w:rPr>
          <w:rFonts w:hint="eastAsia"/>
          <w:lang w:val="en-US" w:eastAsia="zh-CN"/>
        </w:rPr>
      </w:pPr>
    </w:p>
    <w:p>
      <w:pPr>
        <w:pStyle w:val="3"/>
        <w:jc w:val="center"/>
        <w:rPr>
          <w:rFonts w:hint="eastAsia" w:ascii="方正小标宋简体" w:hAnsi="方正小标宋简体" w:eastAsia="方正小标宋简体" w:cs="方正小标宋简体"/>
          <w:b w:val="0"/>
          <w:bCs w:val="0"/>
        </w:rPr>
      </w:pPr>
      <w:bookmarkStart w:id="2" w:name="_Toc29747"/>
      <w:bookmarkStart w:id="3" w:name="_Toc2692026"/>
      <w:r>
        <w:rPr>
          <w:rFonts w:hint="eastAsia" w:ascii="方正小标宋简体" w:hAnsi="方正小标宋简体" w:eastAsia="方正小标宋简体" w:cs="方正小标宋简体"/>
          <w:b w:val="0"/>
          <w:bCs w:val="0"/>
        </w:rPr>
        <w:t>第二章 供应商须知</w:t>
      </w:r>
      <w:bookmarkEnd w:id="2"/>
      <w:bookmarkEnd w:id="3"/>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仿宋"/>
          <w:b w:val="0"/>
          <w:bCs/>
          <w:color w:val="000000" w:themeColor="text1"/>
          <w:sz w:val="32"/>
          <w:szCs w:val="32"/>
          <w:lang w:val="en-US" w:eastAsia="zh-CN"/>
          <w14:textFill>
            <w14:solidFill>
              <w14:schemeClr w14:val="tx1"/>
            </w14:solidFill>
          </w14:textFill>
        </w:rPr>
      </w:pPr>
      <w:r>
        <w:rPr>
          <w:rFonts w:hint="eastAsia" w:ascii="黑体" w:hAnsi="黑体" w:eastAsia="黑体" w:cs="仿宋"/>
          <w:b w:val="0"/>
          <w:bCs/>
          <w:color w:val="000000" w:themeColor="text1"/>
          <w:sz w:val="32"/>
          <w:szCs w:val="32"/>
          <w:lang w:val="en-US" w:eastAsia="zh-CN"/>
          <w14:textFill>
            <w14:solidFill>
              <w14:schemeClr w14:val="tx1"/>
            </w14:solidFill>
          </w14:textFill>
        </w:rPr>
        <w:t>一、响应文件的编制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供应商应按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响应文件要求的</w:t>
      </w:r>
      <w:r>
        <w:rPr>
          <w:rFonts w:hint="eastAsia" w:ascii="仿宋_GB2312" w:hAnsi="仿宋_GB2312" w:eastAsia="仿宋_GB2312" w:cs="仿宋_GB2312"/>
          <w:color w:val="000000" w:themeColor="text1"/>
          <w:sz w:val="32"/>
          <w:szCs w:val="32"/>
          <w14:textFill>
            <w14:solidFill>
              <w14:schemeClr w14:val="tx1"/>
            </w14:solidFill>
          </w14:textFill>
        </w:rPr>
        <w:t>格式和顺序编制并标注页码，响应文件内容不完整、编排混乱导致响应文件被误读、漏读或者查找不到相关内容的后果由供应商承担。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供应商应准确设置评审关联点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和索引目录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未设置或设置错误导致响应文件被误读、漏读或者查找不到相关内容的后果由磋商供应商承担。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供应商须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w:t>
      </w:r>
      <w:r>
        <w:rPr>
          <w:rFonts w:hint="eastAsia" w:ascii="仿宋_GB2312" w:hAnsi="仿宋_GB2312" w:eastAsia="仿宋_GB2312" w:cs="仿宋_GB2312"/>
          <w:color w:val="000000" w:themeColor="text1"/>
          <w:sz w:val="32"/>
          <w:szCs w:val="32"/>
          <w14:textFill>
            <w14:solidFill>
              <w14:schemeClr w14:val="tx1"/>
            </w14:solidFill>
          </w14:textFill>
        </w:rPr>
        <w:t>响应文件</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每页加</w:t>
      </w:r>
      <w:r>
        <w:rPr>
          <w:rFonts w:hint="eastAsia" w:ascii="仿宋_GB2312" w:hAnsi="仿宋_GB2312" w:eastAsia="仿宋_GB2312" w:cs="仿宋_GB2312"/>
          <w:color w:val="000000" w:themeColor="text1"/>
          <w:sz w:val="32"/>
          <w:szCs w:val="32"/>
          <w14:textFill>
            <w14:solidFill>
              <w14:schemeClr w14:val="tx1"/>
            </w14:solidFill>
          </w14:textFill>
        </w:rPr>
        <w:t>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w:t>
      </w:r>
      <w:r>
        <w:rPr>
          <w:rFonts w:hint="eastAsia" w:ascii="仿宋_GB2312" w:hAnsi="仿宋_GB2312" w:eastAsia="仿宋_GB2312" w:cs="仿宋_GB2312"/>
          <w:color w:val="000000" w:themeColor="text1"/>
          <w:sz w:val="32"/>
          <w:szCs w:val="32"/>
          <w14:textFill>
            <w14:solidFill>
              <w14:schemeClr w14:val="tx1"/>
            </w14:solidFill>
          </w14:textFill>
        </w:rPr>
        <w:t>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合同</w:t>
      </w:r>
      <w:r>
        <w:rPr>
          <w:rFonts w:hint="eastAsia" w:ascii="仿宋_GB2312" w:hAnsi="仿宋_GB2312" w:eastAsia="仿宋_GB2312" w:cs="仿宋_GB2312"/>
          <w:color w:val="000000" w:themeColor="text1"/>
          <w:sz w:val="32"/>
          <w:szCs w:val="32"/>
          <w14:textFill>
            <w14:solidFill>
              <w14:schemeClr w14:val="tx1"/>
            </w14:solidFill>
          </w14:textFill>
        </w:rPr>
        <w:t>由法定代表人或法定代表人的授权委托人签署，供应商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名称</w:t>
      </w:r>
      <w:r>
        <w:rPr>
          <w:rFonts w:hint="eastAsia" w:ascii="仿宋_GB2312" w:hAnsi="仿宋_GB2312" w:eastAsia="仿宋_GB2312" w:cs="仿宋_GB2312"/>
          <w:color w:val="000000" w:themeColor="text1"/>
          <w:sz w:val="32"/>
          <w:szCs w:val="32"/>
          <w14:textFill>
            <w14:solidFill>
              <w14:schemeClr w14:val="tx1"/>
            </w14:solidFill>
          </w14:textFill>
        </w:rPr>
        <w:t>应写全称。</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黑体" w:hAnsi="黑体" w:eastAsia="黑体" w:cs="仿宋"/>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4.采</w:t>
      </w:r>
      <w:r>
        <w:rPr>
          <w:rFonts w:hint="eastAsia" w:ascii="仿宋_GB2312" w:hAnsi="仿宋_GB2312" w:eastAsia="仿宋_GB2312" w:cs="仿宋_GB2312"/>
          <w:color w:val="000000" w:themeColor="text1"/>
          <w:sz w:val="32"/>
          <w:szCs w:val="32"/>
          <w14:textFill>
            <w14:solidFill>
              <w14:schemeClr w14:val="tx1"/>
            </w14:solidFill>
          </w14:textFill>
        </w:rPr>
        <w:t>购文件中描述供应商的“公章”是指根据我国对公章的管理规定，用供应商法定主体行为名称制作的印章，除本文件有特殊规定外，供应商的财务章、部门章、工会章、合同章、投标专用章、业务专用章及银行的转账章、现金收讫章、现金付讫章等其它形式印章均不能代替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为确保供应商能够在采购方在规定时间内完成安装布置工作，响应文件中必须提供项目实施保障材料，可包含但不限于供应商的资质证明、包含本项目所使用的物料及设备的报价表、本次服务项目具体的人员分工及相应技术员职称证或其他证书、舞台效果图、现场效果图。</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仿宋"/>
          <w:b w:val="0"/>
          <w:bCs/>
          <w:color w:val="000000" w:themeColor="text1"/>
          <w:sz w:val="32"/>
          <w:szCs w:val="32"/>
          <w:lang w:val="en-US" w:eastAsia="zh-CN"/>
          <w14:textFill>
            <w14:solidFill>
              <w14:schemeClr w14:val="tx1"/>
            </w14:solidFill>
          </w14:textFill>
        </w:rPr>
      </w:pPr>
    </w:p>
    <w:p>
      <w:pPr>
        <w:pStyle w:val="2"/>
        <w:rPr>
          <w:rFonts w:hint="eastAsia"/>
          <w:lang w:val="en-US" w:eastAsia="zh-CN"/>
        </w:rPr>
      </w:pP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黑体" w:hAnsi="黑体" w:eastAsia="黑体" w:cs="仿宋"/>
          <w:b w:val="0"/>
          <w:bCs/>
          <w:color w:val="000000" w:themeColor="text1"/>
          <w:sz w:val="32"/>
          <w:szCs w:val="32"/>
          <w:lang w:val="en-US" w:eastAsia="zh-CN"/>
          <w14:textFill>
            <w14:solidFill>
              <w14:schemeClr w14:val="tx1"/>
            </w14:solidFill>
          </w14:textFill>
        </w:rPr>
      </w:pPr>
      <w:r>
        <w:rPr>
          <w:rFonts w:hint="eastAsia" w:ascii="黑体" w:hAnsi="黑体" w:eastAsia="黑体" w:cs="仿宋"/>
          <w:b w:val="0"/>
          <w:bCs/>
          <w:color w:val="000000" w:themeColor="text1"/>
          <w:sz w:val="32"/>
          <w:szCs w:val="32"/>
          <w:lang w:val="en-US" w:eastAsia="zh-CN"/>
          <w14:textFill>
            <w14:solidFill>
              <w14:schemeClr w14:val="tx1"/>
            </w14:solidFill>
          </w14:textFill>
        </w:rPr>
        <w:t>二、报价文件编制须知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对于本文件中未列明，而供应商认为必需的费用也需列入总报价。在合同实施时，采购人将不予支付成交供应商没有列入的项目费用，并认为此项目的费用已包括在总报价中。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成交供应商负责本项目所需服务的提供、实施、售后服务等全部工作。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响应文件的解释发生异议的，以中文文本为准。除上述原因以外，如果因供应商原因引起的报价失误，并在时被接受，其后果由供应商自负。</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黑体" w:hAnsi="黑体" w:eastAsia="黑体" w:cs="仿宋"/>
          <w:b w:val="0"/>
          <w:bCs/>
          <w:color w:val="000000" w:themeColor="text1"/>
          <w:sz w:val="32"/>
          <w:szCs w:val="32"/>
          <w:lang w:val="en-US" w:eastAsia="zh-CN"/>
          <w14:textFill>
            <w14:solidFill>
              <w14:schemeClr w14:val="tx1"/>
            </w14:solidFill>
          </w14:textFill>
        </w:rPr>
      </w:pPr>
      <w:r>
        <w:rPr>
          <w:rFonts w:hint="eastAsia" w:ascii="黑体" w:hAnsi="黑体" w:eastAsia="黑体" w:cs="仿宋"/>
          <w:b w:val="0"/>
          <w:bCs/>
          <w:color w:val="000000" w:themeColor="text1"/>
          <w:sz w:val="32"/>
          <w:szCs w:val="32"/>
          <w:lang w:val="en-US" w:eastAsia="zh-CN"/>
          <w14:textFill>
            <w14:solidFill>
              <w14:schemeClr w14:val="tx1"/>
            </w14:solidFill>
          </w14:textFill>
        </w:rPr>
        <w:t>三、项目实施要求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1.供应商于响应文件中必须提供服务承诺书（根据项目内容自行编写。包含服务期限及地点，舞台设备技术需求及数量承诺，舞台设备质量保障承诺等）。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2.供应商全权负责舞台设备的安装调试工作，项目实施过程中除应配置施工专业的管理人员外，还应配置相关专业的技术人员，具有专业技术资格（职称）或者职业资格或者执业资格证或者其他证书。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3.舞台设备租赁使用期间保证所有设备正常无故障运行，供应商应派遣工程技术人员于晚会彩排、演出当天驻场，若设备发生紧急故障，应在 1 小时内维修解决问题，不得影响现场演出。如果在故障维修过程中需要更换配件的，要求更换的配件应跟被更换的品牌、类型相一致或者是同类同档次的替代品，后者需征得采购方管理人员同意。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4.演出结束后1日内拆除并撤走相关设备，清理搭建现场。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5.供应商在项目实施工程中应遵守国家相关安全法律法规，若因供应商自身原因导致发生作业事故的，一切后果由供应商自行承担。</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黑体" w:hAnsi="黑体" w:eastAsia="黑体" w:cs="仿宋"/>
          <w:b w:val="0"/>
          <w:bCs/>
          <w:color w:val="000000" w:themeColor="text1"/>
          <w:sz w:val="32"/>
          <w:szCs w:val="32"/>
          <w:lang w:val="en-US" w:eastAsia="zh-CN"/>
          <w14:textFill>
            <w14:solidFill>
              <w14:schemeClr w14:val="tx1"/>
            </w14:solidFill>
          </w14:textFill>
        </w:rPr>
      </w:pPr>
      <w:r>
        <w:rPr>
          <w:rFonts w:hint="eastAsia" w:ascii="黑体" w:hAnsi="黑体" w:eastAsia="黑体" w:cs="仿宋"/>
          <w:b w:val="0"/>
          <w:bCs/>
          <w:color w:val="000000" w:themeColor="text1"/>
          <w:sz w:val="32"/>
          <w:szCs w:val="32"/>
          <w:lang w:val="en-US" w:eastAsia="zh-CN"/>
          <w14:textFill>
            <w14:solidFill>
              <w14:schemeClr w14:val="tx1"/>
            </w14:solidFill>
          </w14:textFill>
        </w:rPr>
        <w:t>四、演出现场俯视图</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仿宋"/>
          <w:b w:val="0"/>
          <w:bCs/>
          <w:color w:val="000000" w:themeColor="text1"/>
          <w:sz w:val="32"/>
          <w:szCs w:val="32"/>
          <w:lang w:val="en-US" w:eastAsia="zh-CN"/>
          <w14:textFill>
            <w14:solidFill>
              <w14:schemeClr w14:val="tx1"/>
            </w14:solidFill>
          </w14:textFill>
        </w:rPr>
      </w:pPr>
      <w:r>
        <w:rPr>
          <w:rFonts w:hint="eastAsia" w:ascii="黑体" w:hAnsi="黑体" w:eastAsia="黑体" w:cs="仿宋"/>
          <w:b w:val="0"/>
          <w:bCs/>
          <w:color w:val="000000" w:themeColor="text1"/>
          <w:sz w:val="32"/>
          <w:szCs w:val="32"/>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190500</wp:posOffset>
            </wp:positionH>
            <wp:positionV relativeFrom="paragraph">
              <wp:posOffset>236220</wp:posOffset>
            </wp:positionV>
            <wp:extent cx="5385435" cy="3844925"/>
            <wp:effectExtent l="0" t="0" r="5715" b="3175"/>
            <wp:wrapSquare wrapText="bothSides"/>
            <wp:docPr id="2" name="图片 2" descr="2b2be239ec7df1da7bf134cfed63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2be239ec7df1da7bf134cfed63cf0"/>
                    <pic:cNvPicPr>
                      <a:picLocks noChangeAspect="1"/>
                    </pic:cNvPicPr>
                  </pic:nvPicPr>
                  <pic:blipFill>
                    <a:blip r:embed="rId5"/>
                    <a:stretch>
                      <a:fillRect/>
                    </a:stretch>
                  </pic:blipFill>
                  <pic:spPr>
                    <a:xfrm>
                      <a:off x="0" y="0"/>
                      <a:ext cx="5385435" cy="3844925"/>
                    </a:xfrm>
                    <a:prstGeom prst="rect">
                      <a:avLst/>
                    </a:prstGeom>
                  </pic:spPr>
                </pic:pic>
              </a:graphicData>
            </a:graphic>
          </wp:anchor>
        </w:drawing>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eastAsia" w:ascii="黑体" w:hAnsi="黑体" w:eastAsia="黑体" w:cs="仿宋"/>
          <w:b w:val="0"/>
          <w:bCs/>
          <w:color w:val="000000" w:themeColor="text1"/>
          <w:sz w:val="32"/>
          <w:szCs w:val="32"/>
          <w:lang w:val="en-US" w:eastAsia="zh-CN"/>
          <w14:textFill>
            <w14:solidFill>
              <w14:schemeClr w14:val="tx1"/>
            </w14:solidFill>
          </w14:textFill>
        </w:rPr>
      </w:pPr>
      <w:r>
        <w:rPr>
          <w:rFonts w:hint="eastAsia" w:ascii="黑体" w:hAnsi="黑体" w:eastAsia="黑体" w:cs="仿宋"/>
          <w:b w:val="0"/>
          <w:bCs/>
          <w:color w:val="000000" w:themeColor="text1"/>
          <w:sz w:val="32"/>
          <w:szCs w:val="32"/>
          <w:lang w:val="en-US" w:eastAsia="zh-CN"/>
          <w14:textFill>
            <w14:solidFill>
              <w14:schemeClr w14:val="tx1"/>
            </w14:solidFill>
          </w14:textFill>
        </w:rPr>
        <w:t>五、成交结果公告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采购人确认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询价</w:t>
      </w:r>
      <w:r>
        <w:rPr>
          <w:rFonts w:hint="eastAsia" w:ascii="仿宋_GB2312" w:hAnsi="仿宋_GB2312" w:eastAsia="仿宋_GB2312" w:cs="仿宋_GB2312"/>
          <w:color w:val="000000" w:themeColor="text1"/>
          <w:sz w:val="32"/>
          <w:szCs w:val="32"/>
          <w14:textFill>
            <w14:solidFill>
              <w14:schemeClr w14:val="tx1"/>
            </w14:solidFill>
          </w14:textFill>
        </w:rPr>
        <w:t>评审结果后，成交结果公告将在本项目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询价</w:t>
      </w:r>
      <w:r>
        <w:rPr>
          <w:rFonts w:hint="eastAsia" w:ascii="仿宋_GB2312" w:hAnsi="仿宋_GB2312" w:eastAsia="仿宋_GB2312" w:cs="仿宋_GB2312"/>
          <w:color w:val="000000" w:themeColor="text1"/>
          <w:sz w:val="32"/>
          <w:szCs w:val="32"/>
          <w14:textFill>
            <w14:solidFill>
              <w14:schemeClr w14:val="tx1"/>
            </w14:solidFill>
          </w14:textFill>
        </w:rPr>
        <w:t>公告发布的同一媒体上发布，同时向成交供应商发出成交通知书。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2.参与询价的</w:t>
      </w:r>
      <w:r>
        <w:rPr>
          <w:rFonts w:hint="eastAsia" w:ascii="仿宋_GB2312" w:hAnsi="仿宋_GB2312" w:eastAsia="仿宋_GB2312" w:cs="仿宋_GB2312"/>
          <w:color w:val="000000" w:themeColor="text1"/>
          <w:sz w:val="32"/>
          <w:szCs w:val="32"/>
          <w14:textFill>
            <w14:solidFill>
              <w14:schemeClr w14:val="tx1"/>
            </w14:solidFill>
          </w14:textFill>
        </w:rPr>
        <w:t>供应商认为采购过程、成交结果使自己的权益受到损害的，可以在成交结果公告期限届满之日起7个工作日内以书面形式向采购人提出质疑，供应商在法定质疑期内必须一次性提出针对同一采购程序环节的质疑。采购人将在收到供应商的书面质疑后7个工作日内做出答复，但答复的内容不得涉及商业秘密。</w:t>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eastAsia" w:ascii="黑体" w:hAnsi="黑体" w:eastAsia="黑体" w:cs="仿宋"/>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质疑供应商必须首先经过质疑程序，在对采购人的答复不满意或者采购人未在规定的时间内做出答复的，可以在答复期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满后十五个工作日内书面向相关监督管理部门投诉</w:t>
      </w:r>
      <w:r>
        <w:rPr>
          <w:rFonts w:hint="eastAsia" w:ascii="黑体" w:hAnsi="黑体" w:eastAsia="黑体" w:cs="仿宋"/>
          <w:b w:val="0"/>
          <w:bCs/>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default" w:ascii="黑体" w:hAnsi="黑体" w:eastAsia="黑体" w:cs="仿宋"/>
          <w:b w:val="0"/>
          <w:bCs/>
          <w:color w:val="000000" w:themeColor="text1"/>
          <w:sz w:val="32"/>
          <w:szCs w:val="32"/>
          <w:lang w:val="en-US" w:eastAsia="zh-CN"/>
          <w14:textFill>
            <w14:solidFill>
              <w14:schemeClr w14:val="tx1"/>
            </w14:solidFill>
          </w14:textFill>
        </w:rPr>
      </w:pPr>
      <w:r>
        <w:rPr>
          <w:rFonts w:hint="eastAsia" w:ascii="黑体" w:hAnsi="黑体" w:eastAsia="黑体" w:cs="仿宋"/>
          <w:b w:val="0"/>
          <w:bCs/>
          <w:color w:val="000000" w:themeColor="text1"/>
          <w:sz w:val="32"/>
          <w:szCs w:val="32"/>
          <w:lang w:val="en-US" w:eastAsia="zh-CN"/>
          <w14:textFill>
            <w14:solidFill>
              <w14:schemeClr w14:val="tx1"/>
            </w14:solidFill>
          </w14:textFill>
        </w:rPr>
        <w:t>六、合同签订说明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1.成交供应商自成交通知书发出之日起15日内与采购人签订合同。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成交供应商拒绝签订采购合同的，采购人可以根据评审报告确定成交供应商之后排名第一的成交候选供应商作为成交供应商并签订采购合同，也可以重新开展采购活动。拒绝签订采购合同的成交供应商不得参加对该项目重新开展的采购活动。</w:t>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eastAsia" w:ascii="黑体" w:hAnsi="黑体" w:eastAsia="黑体" w:cs="仿宋"/>
          <w:b w:val="0"/>
          <w:bCs/>
          <w:color w:val="000000" w:themeColor="text1"/>
          <w:sz w:val="32"/>
          <w:szCs w:val="32"/>
          <w:lang w:val="en-US" w:eastAsia="zh-CN"/>
          <w14:textFill>
            <w14:solidFill>
              <w14:schemeClr w14:val="tx1"/>
            </w14:solidFill>
          </w14:textFill>
        </w:rPr>
      </w:pPr>
      <w:r>
        <w:rPr>
          <w:rFonts w:hint="eastAsia" w:ascii="黑体" w:hAnsi="黑体" w:eastAsia="黑体" w:cs="仿宋"/>
          <w:b w:val="0"/>
          <w:bCs/>
          <w:color w:val="000000" w:themeColor="text1"/>
          <w:sz w:val="32"/>
          <w:szCs w:val="32"/>
          <w:lang w:val="en-US" w:eastAsia="zh-CN"/>
          <w14:textFill>
            <w14:solidFill>
              <w14:schemeClr w14:val="tx1"/>
            </w14:solidFill>
          </w14:textFill>
        </w:rPr>
        <w:t>七、付款方式</w:t>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在舞台设备搭建验收合格及设备正常使用晚会结束后</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，成交供应商在5个工作日内</w:t>
      </w:r>
      <w:r>
        <w:rPr>
          <w:rFonts w:hint="eastAsia" w:ascii="仿宋_GB2312" w:hAnsi="仿宋_GB2312" w:eastAsia="仿宋_GB2312" w:cs="仿宋_GB2312"/>
          <w:b w:val="0"/>
          <w:bCs/>
          <w:color w:val="000000" w:themeColor="text1"/>
          <w:sz w:val="32"/>
          <w:szCs w:val="32"/>
          <w14:textFill>
            <w14:solidFill>
              <w14:schemeClr w14:val="tx1"/>
            </w14:solidFill>
          </w14:textFill>
        </w:rPr>
        <w:t>提供正规发票</w:t>
      </w:r>
      <w:r>
        <w:rPr>
          <w:rFonts w:hint="eastAsia" w:ascii="仿宋_GB2312" w:hAnsi="仿宋_GB2312" w:eastAsia="仿宋_GB2312" w:cs="仿宋_GB2312"/>
          <w:b w:val="0"/>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采购人</w:t>
      </w:r>
      <w:r>
        <w:rPr>
          <w:rFonts w:hint="eastAsia" w:ascii="仿宋_GB2312" w:hAnsi="仿宋_GB2312" w:eastAsia="仿宋_GB2312" w:cs="仿宋_GB2312"/>
          <w:b w:val="0"/>
          <w:bCs/>
          <w:color w:val="000000" w:themeColor="text1"/>
          <w:sz w:val="32"/>
          <w:szCs w:val="32"/>
          <w14:textFill>
            <w14:solidFill>
              <w14:schemeClr w14:val="tx1"/>
            </w14:solidFill>
          </w14:textFill>
        </w:rPr>
        <w:t>于</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b w:val="0"/>
          <w:bCs/>
          <w:color w:val="000000" w:themeColor="text1"/>
          <w:sz w:val="32"/>
          <w:szCs w:val="32"/>
          <w14:textFill>
            <w14:solidFill>
              <w14:schemeClr w14:val="tx1"/>
            </w14:solidFill>
          </w14:textFill>
        </w:rPr>
        <w:t>个工作日内</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一次性</w:t>
      </w:r>
      <w:r>
        <w:rPr>
          <w:rFonts w:hint="eastAsia" w:ascii="仿宋_GB2312" w:hAnsi="仿宋_GB2312" w:eastAsia="仿宋_GB2312" w:cs="仿宋_GB2312"/>
          <w:b w:val="0"/>
          <w:bCs/>
          <w:color w:val="000000" w:themeColor="text1"/>
          <w:sz w:val="32"/>
          <w:szCs w:val="32"/>
          <w14:textFill>
            <w14:solidFill>
              <w14:schemeClr w14:val="tx1"/>
            </w14:solidFill>
          </w14:textFill>
        </w:rPr>
        <w:t>支付全部</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款项（具体以合同签订为准）</w:t>
      </w:r>
      <w:r>
        <w:rPr>
          <w:rFonts w:hint="eastAsia" w:ascii="仿宋_GB2312" w:hAnsi="仿宋_GB2312" w:eastAsia="仿宋_GB2312" w:cs="仿宋_GB2312"/>
          <w:b w:val="0"/>
          <w:bCs/>
          <w:color w:val="000000" w:themeColor="text1"/>
          <w:sz w:val="32"/>
          <w:szCs w:val="32"/>
          <w14:textFill>
            <w14:solidFill>
              <w14:schemeClr w14:val="tx1"/>
            </w14:solidFill>
          </w14:textFill>
        </w:rPr>
        <w:t>。</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00" w:lineRule="exact"/>
        <w:jc w:val="center"/>
        <w:textAlignment w:val="auto"/>
        <w:rPr>
          <w:rFonts w:hint="eastAsia" w:ascii="方正小标宋简体" w:hAnsi="方正小标宋简体" w:eastAsia="方正小标宋简体" w:cs="方正小标宋简体"/>
          <w:b w:val="0"/>
          <w:bCs w:val="0"/>
          <w:lang w:val="en-US" w:eastAsia="zh-CN"/>
        </w:rPr>
      </w:pPr>
      <w:r>
        <w:rPr>
          <w:rFonts w:hint="eastAsia" w:ascii="方正小标宋简体" w:hAnsi="方正小标宋简体" w:eastAsia="方正小标宋简体" w:cs="方正小标宋简体"/>
          <w:b w:val="0"/>
          <w:bCs w:val="0"/>
          <w:lang w:val="en-US" w:eastAsia="zh-CN"/>
        </w:rPr>
        <w:t>第三章 采购需求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 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.购需求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表</w:t>
      </w:r>
      <w:r>
        <w:rPr>
          <w:rFonts w:hint="eastAsia" w:ascii="仿宋_GB2312" w:hAnsi="仿宋_GB2312" w:eastAsia="仿宋_GB2312" w:cs="仿宋_GB2312"/>
          <w:color w:val="000000" w:themeColor="text1"/>
          <w:sz w:val="32"/>
          <w:szCs w:val="32"/>
          <w14:textFill>
            <w14:solidFill>
              <w14:schemeClr w14:val="tx1"/>
            </w14:solidFill>
          </w14:textFill>
        </w:rPr>
        <w:t>中出现的品牌、型号或者生产供应商仅起参考作用，不属于指定品牌、型号或者生产供应商的情形。供应商可参照或者选用其他相当的品牌、型号或者生产供应商替代。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需求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表</w:t>
      </w:r>
      <w:r>
        <w:rPr>
          <w:rFonts w:hint="eastAsia" w:ascii="仿宋_GB2312" w:hAnsi="仿宋_GB2312" w:eastAsia="仿宋_GB2312" w:cs="仿宋_GB2312"/>
          <w:color w:val="000000" w:themeColor="text1"/>
          <w:sz w:val="32"/>
          <w:szCs w:val="32"/>
          <w14:textFill>
            <w14:solidFill>
              <w14:schemeClr w14:val="tx1"/>
            </w14:solidFill>
          </w14:textFill>
        </w:rPr>
        <w:t>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标注的参数要求</w:t>
      </w:r>
      <w:r>
        <w:rPr>
          <w:rFonts w:hint="eastAsia" w:ascii="仿宋_GB2312" w:hAnsi="仿宋_GB2312" w:eastAsia="仿宋_GB2312" w:cs="仿宋_GB2312"/>
          <w:color w:val="000000" w:themeColor="text1"/>
          <w:sz w:val="32"/>
          <w:szCs w:val="32"/>
          <w14:textFill>
            <w14:solidFill>
              <w14:schemeClr w14:val="tx1"/>
            </w14:solidFill>
          </w14:textFill>
        </w:rPr>
        <w:t>不明确或有误的，或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14:textFill>
            <w14:solidFill>
              <w14:schemeClr w14:val="tx1"/>
            </w14:solidFill>
          </w14:textFill>
        </w:rPr>
        <w:t>选用其他品牌型号替代的，请以详细、正确的品牌型号、技术参数（配置）填写报价明细表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tbl>
      <w:tblPr>
        <w:tblStyle w:val="11"/>
        <w:tblpPr w:leftFromText="180" w:rightFromText="180" w:vertAnchor="text" w:horzAnchor="page" w:tblpX="1392" w:tblpY="600"/>
        <w:tblOverlap w:val="never"/>
        <w:tblW w:w="9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785"/>
        <w:gridCol w:w="2910"/>
        <w:gridCol w:w="660"/>
        <w:gridCol w:w="690"/>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9185" w:type="dxa"/>
            <w:gridSpan w:val="6"/>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bCs/>
                <w:i w:val="0"/>
                <w:iCs w:val="0"/>
                <w:color w:val="000000"/>
                <w:kern w:val="0"/>
                <w:sz w:val="22"/>
                <w:szCs w:val="22"/>
                <w:u w:val="none"/>
                <w:lang w:val="en-US" w:eastAsia="zh-CN" w:bidi="ar"/>
              </w:rPr>
            </w:pPr>
            <w:r>
              <w:rPr>
                <w:rFonts w:hint="eastAsia" w:ascii="方正小标宋简体" w:hAnsi="方正小标宋简体" w:eastAsia="方正小标宋简体" w:cs="方正小标宋简体"/>
                <w:sz w:val="44"/>
                <w:szCs w:val="44"/>
                <w:lang w:val="en-US" w:eastAsia="zh-CN"/>
              </w:rPr>
              <w:t>南宁市工人文化宫文艺演出舞台设备租赁服务采购需求表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85"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一、音响部分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序号</w:t>
            </w:r>
          </w:p>
        </w:tc>
        <w:tc>
          <w:tcPr>
            <w:tcW w:w="1785" w:type="dxa"/>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设备名称</w:t>
            </w:r>
          </w:p>
        </w:tc>
        <w:tc>
          <w:tcPr>
            <w:tcW w:w="2910" w:type="dxa"/>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参数要求</w:t>
            </w:r>
          </w:p>
        </w:tc>
        <w:tc>
          <w:tcPr>
            <w:tcW w:w="66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数量</w:t>
            </w:r>
          </w:p>
        </w:tc>
        <w:tc>
          <w:tcPr>
            <w:tcW w:w="69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单位</w:t>
            </w:r>
          </w:p>
        </w:tc>
        <w:tc>
          <w:tcPr>
            <w:tcW w:w="247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78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线阵主音箱</w:t>
            </w:r>
          </w:p>
        </w:tc>
        <w:tc>
          <w:tcPr>
            <w:tcW w:w="291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双8寸两分频</w:t>
            </w:r>
          </w:p>
        </w:tc>
        <w:tc>
          <w:tcPr>
            <w:tcW w:w="66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69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247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Style w:val="17"/>
                <w:lang w:val="en-US" w:eastAsia="zh-CN" w:bidi="ar"/>
              </w:rPr>
              <w:t>德国 Se（或相似品牌）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78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反听音箱</w:t>
            </w:r>
          </w:p>
        </w:tc>
        <w:tc>
          <w:tcPr>
            <w:tcW w:w="291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单15寸两分频同轴</w:t>
            </w:r>
          </w:p>
        </w:tc>
        <w:tc>
          <w:tcPr>
            <w:tcW w:w="66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69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247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Style w:val="17"/>
                <w:lang w:val="en-US" w:eastAsia="zh-CN" w:bidi="ar"/>
              </w:rPr>
              <w:t>德国 Se（或相似品牌）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78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低音音箱</w:t>
            </w:r>
          </w:p>
        </w:tc>
        <w:tc>
          <w:tcPr>
            <w:tcW w:w="291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单18寸低频</w:t>
            </w:r>
          </w:p>
        </w:tc>
        <w:tc>
          <w:tcPr>
            <w:tcW w:w="66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69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247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Style w:val="17"/>
                <w:lang w:val="en-US" w:eastAsia="zh-CN" w:bidi="ar"/>
              </w:rPr>
              <w:t>德国 Se（或相似品牌）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78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主音箱功放</w:t>
            </w:r>
          </w:p>
        </w:tc>
        <w:tc>
          <w:tcPr>
            <w:tcW w:w="291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额定功率≥1000W</w:t>
            </w:r>
          </w:p>
        </w:tc>
        <w:tc>
          <w:tcPr>
            <w:tcW w:w="66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69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247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Style w:val="17"/>
                <w:lang w:val="en-US" w:eastAsia="zh-CN" w:bidi="ar"/>
              </w:rPr>
              <w:t>德国 Se（或相似品牌）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78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反听音箱功放</w:t>
            </w:r>
          </w:p>
        </w:tc>
        <w:tc>
          <w:tcPr>
            <w:tcW w:w="291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额定功率≥1000W</w:t>
            </w:r>
          </w:p>
        </w:tc>
        <w:tc>
          <w:tcPr>
            <w:tcW w:w="66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69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247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Style w:val="17"/>
                <w:lang w:val="en-US" w:eastAsia="zh-CN" w:bidi="ar"/>
              </w:rPr>
              <w:t>德国 Se（或相似品牌）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78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低音音箱功放</w:t>
            </w:r>
          </w:p>
        </w:tc>
        <w:tc>
          <w:tcPr>
            <w:tcW w:w="291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2"/>
                <w:szCs w:val="22"/>
                <w:u w:val="none"/>
                <w:lang w:val="en-US" w:eastAsia="zh-CN" w:bidi="ar"/>
              </w:rPr>
              <w:t>额定功率≥1000W</w:t>
            </w:r>
          </w:p>
        </w:tc>
        <w:tc>
          <w:tcPr>
            <w:tcW w:w="66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69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247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Style w:val="17"/>
                <w:lang w:val="en-US" w:eastAsia="zh-CN" w:bidi="ar"/>
              </w:rPr>
              <w:t>德国 Se（或相似品牌）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7</w:t>
            </w:r>
          </w:p>
        </w:tc>
        <w:tc>
          <w:tcPr>
            <w:tcW w:w="178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数字调音台</w:t>
            </w:r>
          </w:p>
        </w:tc>
        <w:tc>
          <w:tcPr>
            <w:tcW w:w="291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2"/>
                <w:szCs w:val="22"/>
                <w:u w:val="none"/>
                <w:lang w:val="en-US" w:eastAsia="zh-CN" w:bidi="ar"/>
              </w:rPr>
              <w:t>通道数≥32路输出通道</w:t>
            </w:r>
          </w:p>
        </w:tc>
        <w:tc>
          <w:tcPr>
            <w:tcW w:w="66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69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247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Style w:val="17"/>
                <w:rFonts w:hint="default"/>
                <w:lang w:val="en-US" w:eastAsia="zh-CN" w:bidi="ar"/>
              </w:rPr>
            </w:pPr>
            <w:r>
              <w:rPr>
                <w:rStyle w:val="17"/>
                <w:lang w:val="en-US" w:eastAsia="zh-CN" w:bidi="ar"/>
              </w:rPr>
              <w:t>迈达斯M32（或相似品牌）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8</w:t>
            </w:r>
          </w:p>
        </w:tc>
        <w:tc>
          <w:tcPr>
            <w:tcW w:w="178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无线麦克风</w:t>
            </w:r>
          </w:p>
        </w:tc>
        <w:tc>
          <w:tcPr>
            <w:tcW w:w="291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使用距离≥300M信噪比≥90db</w:t>
            </w:r>
          </w:p>
        </w:tc>
        <w:tc>
          <w:tcPr>
            <w:tcW w:w="66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69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247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Style w:val="17"/>
                <w:rFonts w:hint="default"/>
                <w:lang w:val="en-US" w:eastAsia="zh-CN" w:bidi="ar"/>
              </w:rPr>
            </w:pPr>
            <w:r>
              <w:rPr>
                <w:rStyle w:val="17"/>
                <w:rFonts w:hint="eastAsia"/>
                <w:lang w:val="en-US" w:eastAsia="zh-CN" w:bidi="ar"/>
              </w:rPr>
              <w:t>美国</w:t>
            </w:r>
            <w:r>
              <w:rPr>
                <w:rStyle w:val="17"/>
                <w:lang w:val="en-US" w:eastAsia="zh-CN" w:bidi="ar"/>
              </w:rPr>
              <w:t>Shure（或相似品牌）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9</w:t>
            </w:r>
          </w:p>
        </w:tc>
        <w:tc>
          <w:tcPr>
            <w:tcW w:w="178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无线头戴麦克风</w:t>
            </w:r>
          </w:p>
        </w:tc>
        <w:tc>
          <w:tcPr>
            <w:tcW w:w="291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使用距离≥300M信噪比≥90db</w:t>
            </w:r>
          </w:p>
        </w:tc>
        <w:tc>
          <w:tcPr>
            <w:tcW w:w="66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69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247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Style w:val="17"/>
                <w:rFonts w:hint="default"/>
                <w:lang w:val="en-US" w:eastAsia="zh-CN" w:bidi="ar"/>
              </w:rPr>
            </w:pPr>
            <w:r>
              <w:rPr>
                <w:rStyle w:val="17"/>
                <w:rFonts w:hint="eastAsia"/>
                <w:lang w:val="en-US" w:eastAsia="zh-CN" w:bidi="ar"/>
              </w:rPr>
              <w:t>美国</w:t>
            </w:r>
            <w:r>
              <w:rPr>
                <w:rStyle w:val="17"/>
                <w:lang w:val="en-US" w:eastAsia="zh-CN" w:bidi="ar"/>
              </w:rPr>
              <w:t>Shure（或相似品牌）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10</w:t>
            </w:r>
          </w:p>
        </w:tc>
        <w:tc>
          <w:tcPr>
            <w:tcW w:w="178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音响配套设施</w:t>
            </w:r>
          </w:p>
        </w:tc>
        <w:tc>
          <w:tcPr>
            <w:tcW w:w="291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音频处理器、信号增强器等</w:t>
            </w:r>
          </w:p>
        </w:tc>
        <w:tc>
          <w:tcPr>
            <w:tcW w:w="66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69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247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5"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二、灯光部分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序号</w:t>
            </w:r>
          </w:p>
        </w:tc>
        <w:tc>
          <w:tcPr>
            <w:tcW w:w="178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设备名称</w:t>
            </w:r>
          </w:p>
        </w:tc>
        <w:tc>
          <w:tcPr>
            <w:tcW w:w="291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参数要求</w:t>
            </w:r>
          </w:p>
        </w:tc>
        <w:tc>
          <w:tcPr>
            <w:tcW w:w="66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数量</w:t>
            </w:r>
          </w:p>
        </w:tc>
        <w:tc>
          <w:tcPr>
            <w:tcW w:w="69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单位</w:t>
            </w:r>
          </w:p>
        </w:tc>
        <w:tc>
          <w:tcPr>
            <w:tcW w:w="247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78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舞台光束灯</w:t>
            </w:r>
          </w:p>
        </w:tc>
        <w:tc>
          <w:tcPr>
            <w:tcW w:w="291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额定功率</w:t>
            </w:r>
            <w:r>
              <w:rPr>
                <w:rFonts w:hint="eastAsia" w:ascii="仿宋" w:hAnsi="仿宋" w:eastAsia="仿宋" w:cs="仿宋"/>
                <w:i w:val="0"/>
                <w:iCs w:val="0"/>
                <w:color w:val="000000"/>
                <w:kern w:val="0"/>
                <w:sz w:val="20"/>
                <w:szCs w:val="20"/>
                <w:u w:val="none"/>
                <w:lang w:val="en-US" w:eastAsia="zh-CN" w:bidi="ar"/>
              </w:rPr>
              <w:t>≥380W</w:t>
            </w:r>
          </w:p>
        </w:tc>
        <w:tc>
          <w:tcPr>
            <w:tcW w:w="66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69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247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DAGE（或相似品牌）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78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舞台LED灯</w:t>
            </w:r>
          </w:p>
        </w:tc>
        <w:tc>
          <w:tcPr>
            <w:tcW w:w="291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三基色 54珠 3W/珠</w:t>
            </w:r>
          </w:p>
        </w:tc>
        <w:tc>
          <w:tcPr>
            <w:tcW w:w="66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48</w:t>
            </w:r>
          </w:p>
        </w:tc>
        <w:tc>
          <w:tcPr>
            <w:tcW w:w="69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盏</w:t>
            </w:r>
          </w:p>
        </w:tc>
        <w:tc>
          <w:tcPr>
            <w:tcW w:w="247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DAGE（或相似品牌）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78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舞台面光灯</w:t>
            </w:r>
          </w:p>
        </w:tc>
        <w:tc>
          <w:tcPr>
            <w:tcW w:w="291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额定功率</w:t>
            </w:r>
            <w:r>
              <w:rPr>
                <w:rFonts w:hint="eastAsia" w:ascii="仿宋" w:hAnsi="仿宋" w:eastAsia="仿宋" w:cs="仿宋"/>
                <w:i w:val="0"/>
                <w:iCs w:val="0"/>
                <w:color w:val="000000"/>
                <w:kern w:val="0"/>
                <w:sz w:val="20"/>
                <w:szCs w:val="20"/>
                <w:u w:val="none"/>
                <w:lang w:val="en-US" w:eastAsia="zh-CN" w:bidi="ar"/>
              </w:rPr>
              <w:t>≥300W</w:t>
            </w:r>
          </w:p>
        </w:tc>
        <w:tc>
          <w:tcPr>
            <w:tcW w:w="66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69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247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DAGE（或相似品牌）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78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四眼观众灯</w:t>
            </w:r>
          </w:p>
        </w:tc>
        <w:tc>
          <w:tcPr>
            <w:tcW w:w="291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额定功率</w:t>
            </w:r>
            <w:r>
              <w:rPr>
                <w:rFonts w:hint="eastAsia" w:ascii="仿宋" w:hAnsi="仿宋" w:eastAsia="仿宋" w:cs="仿宋"/>
                <w:i w:val="0"/>
                <w:iCs w:val="0"/>
                <w:color w:val="000000"/>
                <w:kern w:val="0"/>
                <w:sz w:val="20"/>
                <w:szCs w:val="20"/>
                <w:u w:val="none"/>
                <w:lang w:val="en-US" w:eastAsia="zh-CN" w:bidi="ar"/>
              </w:rPr>
              <w:t>≥4×100W</w:t>
            </w:r>
          </w:p>
        </w:tc>
        <w:tc>
          <w:tcPr>
            <w:tcW w:w="66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69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盏</w:t>
            </w:r>
          </w:p>
        </w:tc>
        <w:tc>
          <w:tcPr>
            <w:tcW w:w="247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DAGE（或相似品牌）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78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数字灯控台</w:t>
            </w:r>
          </w:p>
        </w:tc>
        <w:tc>
          <w:tcPr>
            <w:tcW w:w="291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通道数≥4个DMX输出端口</w:t>
            </w:r>
          </w:p>
        </w:tc>
        <w:tc>
          <w:tcPr>
            <w:tcW w:w="66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69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247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MA-2（或相似品牌）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78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舞台雾机</w:t>
            </w:r>
          </w:p>
        </w:tc>
        <w:tc>
          <w:tcPr>
            <w:tcW w:w="291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额定功率</w:t>
            </w:r>
            <w:r>
              <w:rPr>
                <w:rFonts w:hint="eastAsia" w:ascii="仿宋" w:hAnsi="仿宋" w:eastAsia="仿宋" w:cs="仿宋"/>
                <w:i w:val="0"/>
                <w:iCs w:val="0"/>
                <w:color w:val="000000"/>
                <w:kern w:val="0"/>
                <w:sz w:val="20"/>
                <w:szCs w:val="20"/>
                <w:u w:val="none"/>
                <w:lang w:val="en-US" w:eastAsia="zh-CN" w:bidi="ar"/>
              </w:rPr>
              <w:t>≥600W</w:t>
            </w:r>
          </w:p>
        </w:tc>
        <w:tc>
          <w:tcPr>
            <w:tcW w:w="66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69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247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珠江（或相似品牌）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7</w:t>
            </w:r>
          </w:p>
        </w:tc>
        <w:tc>
          <w:tcPr>
            <w:tcW w:w="178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灯光架</w:t>
            </w:r>
          </w:p>
        </w:tc>
        <w:tc>
          <w:tcPr>
            <w:tcW w:w="291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钢制雷亚架</w:t>
            </w:r>
          </w:p>
        </w:tc>
        <w:tc>
          <w:tcPr>
            <w:tcW w:w="66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69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项</w:t>
            </w:r>
          </w:p>
        </w:tc>
        <w:tc>
          <w:tcPr>
            <w:tcW w:w="247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8</w:t>
            </w:r>
          </w:p>
        </w:tc>
        <w:tc>
          <w:tcPr>
            <w:tcW w:w="178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灯光配套设施</w:t>
            </w:r>
          </w:p>
        </w:tc>
        <w:tc>
          <w:tcPr>
            <w:tcW w:w="291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电箱、线材、信号放大器等</w:t>
            </w:r>
          </w:p>
        </w:tc>
        <w:tc>
          <w:tcPr>
            <w:tcW w:w="66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69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247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5"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三、LED屏幕部分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序号</w:t>
            </w:r>
          </w:p>
        </w:tc>
        <w:tc>
          <w:tcPr>
            <w:tcW w:w="178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设备名称</w:t>
            </w:r>
          </w:p>
        </w:tc>
        <w:tc>
          <w:tcPr>
            <w:tcW w:w="291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参数要求</w:t>
            </w:r>
          </w:p>
        </w:tc>
        <w:tc>
          <w:tcPr>
            <w:tcW w:w="66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数量</w:t>
            </w:r>
          </w:p>
        </w:tc>
        <w:tc>
          <w:tcPr>
            <w:tcW w:w="69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单位</w:t>
            </w:r>
          </w:p>
        </w:tc>
        <w:tc>
          <w:tcPr>
            <w:tcW w:w="247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78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LED主背景</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18"/>
                <w:szCs w:val="18"/>
                <w:u w:val="none"/>
                <w:lang w:val="en-US" w:eastAsia="zh-CN" w:bidi="ar"/>
              </w:rPr>
              <w:t>（</w:t>
            </w:r>
            <w:r>
              <w:rPr>
                <w:rFonts w:hint="eastAsia" w:ascii="仿宋" w:hAnsi="仿宋" w:eastAsia="仿宋" w:cs="仿宋"/>
                <w:i w:val="0"/>
                <w:iCs w:val="0"/>
                <w:color w:val="000000"/>
                <w:kern w:val="0"/>
                <w:sz w:val="18"/>
                <w:szCs w:val="18"/>
                <w:u w:val="none"/>
                <w:lang w:val="en-US" w:eastAsia="zh-CN" w:bidi="ar"/>
              </w:rPr>
              <w:t>含舞台两侧副屏）</w:t>
            </w:r>
          </w:p>
        </w:tc>
        <w:tc>
          <w:tcPr>
            <w:tcW w:w="291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室外高清P</w:t>
            </w:r>
            <w:r>
              <w:rPr>
                <w:rFonts w:hint="eastAsia" w:cs="仿宋"/>
                <w:i w:val="0"/>
                <w:iCs w:val="0"/>
                <w:color w:val="000000"/>
                <w:kern w:val="0"/>
                <w:sz w:val="22"/>
                <w:szCs w:val="22"/>
                <w:u w:val="none"/>
                <w:lang w:val="en-US" w:eastAsia="zh-CN" w:bidi="ar"/>
              </w:rPr>
              <w:t>3</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70</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Style w:val="17"/>
                <w:rFonts w:hint="eastAsia"/>
                <w:lang w:val="en-US" w:eastAsia="zh-CN" w:bidi="ar"/>
              </w:rPr>
              <w:t>德彩</w:t>
            </w:r>
            <w:r>
              <w:rPr>
                <w:rStyle w:val="17"/>
                <w:lang w:val="en-US" w:eastAsia="zh-CN" w:bidi="ar"/>
              </w:rPr>
              <w:t>（或相似品牌）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2</w:t>
            </w:r>
          </w:p>
        </w:tc>
        <w:tc>
          <w:tcPr>
            <w:tcW w:w="178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观众区两侧屏幕</w:t>
            </w:r>
          </w:p>
        </w:tc>
        <w:tc>
          <w:tcPr>
            <w:tcW w:w="291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室外高清P3（带包边）</w:t>
            </w:r>
          </w:p>
        </w:tc>
        <w:tc>
          <w:tcPr>
            <w:tcW w:w="66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w:t>
            </w:r>
          </w:p>
        </w:tc>
        <w:tc>
          <w:tcPr>
            <w:tcW w:w="69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247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德彩（或相似品牌）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3</w:t>
            </w:r>
          </w:p>
        </w:tc>
        <w:tc>
          <w:tcPr>
            <w:tcW w:w="178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视频控台</w:t>
            </w:r>
          </w:p>
        </w:tc>
        <w:tc>
          <w:tcPr>
            <w:tcW w:w="291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V8视频控台</w:t>
            </w:r>
          </w:p>
        </w:tc>
        <w:tc>
          <w:tcPr>
            <w:tcW w:w="66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69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247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Style w:val="17"/>
                <w:lang w:val="en-US" w:eastAsia="zh-CN" w:bidi="ar"/>
              </w:rPr>
              <w:t>迈普视通（或相似品牌）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4</w:t>
            </w:r>
          </w:p>
        </w:tc>
        <w:tc>
          <w:tcPr>
            <w:tcW w:w="178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屏幕架</w:t>
            </w:r>
          </w:p>
        </w:tc>
        <w:tc>
          <w:tcPr>
            <w:tcW w:w="291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钢制雷亚架</w:t>
            </w:r>
          </w:p>
        </w:tc>
        <w:tc>
          <w:tcPr>
            <w:tcW w:w="66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69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项</w:t>
            </w:r>
          </w:p>
        </w:tc>
        <w:tc>
          <w:tcPr>
            <w:tcW w:w="247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5</w:t>
            </w:r>
          </w:p>
        </w:tc>
        <w:tc>
          <w:tcPr>
            <w:tcW w:w="178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屏幕配套设施</w:t>
            </w:r>
          </w:p>
        </w:tc>
        <w:tc>
          <w:tcPr>
            <w:tcW w:w="291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播控设备、处理器、光纤等</w:t>
            </w:r>
          </w:p>
        </w:tc>
        <w:tc>
          <w:tcPr>
            <w:tcW w:w="66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69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247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5"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四、其他部分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序号</w:t>
            </w:r>
          </w:p>
        </w:tc>
        <w:tc>
          <w:tcPr>
            <w:tcW w:w="178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项目名称</w:t>
            </w:r>
          </w:p>
        </w:tc>
        <w:tc>
          <w:tcPr>
            <w:tcW w:w="291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规格要求</w:t>
            </w:r>
          </w:p>
        </w:tc>
        <w:tc>
          <w:tcPr>
            <w:tcW w:w="66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数量</w:t>
            </w:r>
          </w:p>
        </w:tc>
        <w:tc>
          <w:tcPr>
            <w:tcW w:w="69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单位</w:t>
            </w:r>
          </w:p>
        </w:tc>
        <w:tc>
          <w:tcPr>
            <w:tcW w:w="247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1</w:t>
            </w:r>
          </w:p>
        </w:tc>
        <w:tc>
          <w:tcPr>
            <w:tcW w:w="178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舞台口阶梯</w:t>
            </w:r>
          </w:p>
        </w:tc>
        <w:tc>
          <w:tcPr>
            <w:tcW w:w="291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高60cm，木质</w:t>
            </w:r>
          </w:p>
        </w:tc>
        <w:tc>
          <w:tcPr>
            <w:tcW w:w="66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69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247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2</w:t>
            </w:r>
          </w:p>
        </w:tc>
        <w:tc>
          <w:tcPr>
            <w:tcW w:w="178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折叠椅</w:t>
            </w:r>
          </w:p>
        </w:tc>
        <w:tc>
          <w:tcPr>
            <w:tcW w:w="291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66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c>
          <w:tcPr>
            <w:tcW w:w="69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张</w:t>
            </w:r>
          </w:p>
        </w:tc>
        <w:tc>
          <w:tcPr>
            <w:tcW w:w="247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3</w:t>
            </w:r>
          </w:p>
        </w:tc>
        <w:tc>
          <w:tcPr>
            <w:tcW w:w="178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四方凳</w:t>
            </w:r>
          </w:p>
        </w:tc>
        <w:tc>
          <w:tcPr>
            <w:tcW w:w="291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66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350</w:t>
            </w:r>
          </w:p>
        </w:tc>
        <w:tc>
          <w:tcPr>
            <w:tcW w:w="69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张</w:t>
            </w:r>
          </w:p>
        </w:tc>
        <w:tc>
          <w:tcPr>
            <w:tcW w:w="247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r>
    </w:tbl>
    <w:p>
      <w:pPr>
        <w:pStyle w:val="2"/>
        <w:rPr>
          <w:rFonts w:hint="default"/>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00" w:lineRule="exact"/>
        <w:jc w:val="center"/>
        <w:textAlignment w:val="auto"/>
        <w:rPr>
          <w:rFonts w:hint="default" w:ascii="方正小标宋简体" w:hAnsi="方正小标宋简体" w:eastAsia="方正小标宋简体" w:cs="方正小标宋简体"/>
          <w:b w:val="0"/>
          <w:bCs w:val="0"/>
          <w:lang w:val="en-US" w:eastAsia="zh-CN"/>
        </w:rPr>
      </w:pPr>
      <w:r>
        <w:rPr>
          <w:rFonts w:hint="eastAsia" w:ascii="方正小标宋简体" w:hAnsi="方正小标宋简体" w:eastAsia="方正小标宋简体" w:cs="方正小标宋简体"/>
          <w:b w:val="0"/>
          <w:bCs w:val="0"/>
          <w:lang w:val="en-US" w:eastAsia="zh-CN"/>
        </w:rPr>
        <w:t>第四章 评定方法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评定内容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本项目所述服务（包含但不仅限于）是指舞台演出设备租赁服务、舞台搭建服务等。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评定原则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按照“公正、公平、科学、择优”的原则对待所有供应商。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评分方法</w:t>
      </w:r>
    </w:p>
    <w:p>
      <w:pPr>
        <w:widowControl/>
        <w:spacing w:line="520" w:lineRule="exact"/>
        <w:ind w:firstLine="640" w:firstLineChars="200"/>
        <w:jc w:val="left"/>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本次采用</w:t>
      </w:r>
      <w:r>
        <w:rPr>
          <w:rFonts w:hint="eastAsia" w:ascii="仿宋_GB2312" w:hAnsi="仿宋_GB2312" w:eastAsia="仿宋_GB2312" w:cs="仿宋_GB2312"/>
          <w:b/>
          <w:bCs/>
          <w:sz w:val="32"/>
          <w:szCs w:val="32"/>
          <w:lang w:val="en-US" w:eastAsia="zh-CN"/>
        </w:rPr>
        <w:t>综合评分法</w:t>
      </w:r>
      <w:r>
        <w:rPr>
          <w:rFonts w:hint="eastAsia" w:ascii="仿宋_GB2312" w:hAnsi="仿宋_GB2312" w:eastAsia="仿宋_GB2312" w:cs="仿宋_GB2312"/>
          <w:sz w:val="32"/>
          <w:szCs w:val="32"/>
          <w:lang w:val="en-US" w:eastAsia="zh-CN"/>
        </w:rPr>
        <w:t>确定服务供应商。评委将会对确定为实质性响应询价文件要求的报价材料进行评价和比较，以评分小组打分的</w:t>
      </w:r>
      <w:r>
        <w:rPr>
          <w:rFonts w:hint="eastAsia" w:ascii="仿宋_GB2312" w:hAnsi="仿宋_GB2312" w:eastAsia="仿宋_GB2312" w:cs="仿宋_GB2312"/>
          <w:b/>
          <w:bCs/>
          <w:sz w:val="32"/>
          <w:szCs w:val="32"/>
          <w:lang w:val="en-US" w:eastAsia="zh-CN"/>
        </w:rPr>
        <w:t>算术平均数</w:t>
      </w:r>
      <w:r>
        <w:rPr>
          <w:rFonts w:hint="eastAsia" w:ascii="仿宋_GB2312" w:hAnsi="仿宋_GB2312" w:eastAsia="仿宋_GB2312" w:cs="仿宋_GB2312"/>
          <w:sz w:val="32"/>
          <w:szCs w:val="32"/>
          <w:lang w:val="en-US" w:eastAsia="zh-CN"/>
        </w:rPr>
        <w:t>作为报价公司的最终得分。评分结果按最终得分由高到低顺序排列。得分相同的，按报价由低到高顺序排列，得分且报价相同的，优先选择</w:t>
      </w:r>
      <w:r>
        <w:rPr>
          <w:rFonts w:hint="eastAsia" w:ascii="仿宋_GB2312" w:hAnsi="仿宋_GB2312" w:eastAsia="仿宋_GB2312" w:cs="仿宋_GB2312"/>
          <w:kern w:val="0"/>
          <w:sz w:val="32"/>
          <w:szCs w:val="32"/>
          <w:lang w:val="en-US" w:eastAsia="zh-CN" w:bidi="ar"/>
        </w:rPr>
        <w:t>拥有大型演出案例（国家级）的报价公司。</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计分标准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本项目所有报价公司在遵循平等、自愿和诚实信用的原则下，报价人默认为认可接受该项目甲方所提要求。对于进入详评的报价文件，采用百分制综合评分法，结合本项目具体情况，按下列标准打分：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（一）项目报价（满分40 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1.供应商应根据第三章采购需求表的内容一一对应编制报价单，提供完整的、不可更改的、没有附加条件的项目报价。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2.本次询价的</w:t>
      </w:r>
      <w:r>
        <w:rPr>
          <w:rFonts w:hint="eastAsia" w:ascii="仿宋_GB2312" w:hAnsi="仿宋_GB2312" w:eastAsia="仿宋_GB2312" w:cs="仿宋_GB2312"/>
          <w:sz w:val="32"/>
          <w:szCs w:val="32"/>
          <w:lang w:val="en-US" w:eastAsia="zh-CN"/>
        </w:rPr>
        <w:t>演出设备租赁服务的</w:t>
      </w:r>
      <w:r>
        <w:rPr>
          <w:rFonts w:hint="eastAsia" w:ascii="仿宋_GB2312" w:hAnsi="仿宋_GB2312" w:eastAsia="仿宋_GB2312" w:cs="仿宋_GB2312"/>
          <w:color w:val="auto"/>
          <w:sz w:val="32"/>
          <w:szCs w:val="32"/>
          <w:lang w:val="en-US" w:eastAsia="zh-CN"/>
        </w:rPr>
        <w:t>上控价格为人民币肆万贰仟柒佰元整（¥42700.00），供应商的报价高于上控价则为无效报价，低于或等于上控价的报价将由低到高分为三个档次，报价最低者为最高档次得40分，每个档次下降3分（满分40分）。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3.供应商的报价应为服务费、管理费、验收费、利润、税金及其它所有成本、费用的总和，最后总价需明确标注“含税”。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（二）项目实施方案（满分45分）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供应商的响应文件应包含的保障材料如下：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1.供应商的演出相关资质证明（满分10分）：营业执照（必须）、舞台搭建资质证书（如有）、舞美工程企业综合技术资质证书（如有）、营业性演出许可证（如有）。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2.本项目所使用的设备清单（满分15分）。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3.本项目具体的人员分工及相应职称证明（满分10分）。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4.舞台效果图（满分10分）。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
          <w:bCs/>
          <w:sz w:val="32"/>
          <w:szCs w:val="32"/>
          <w:lang w:val="en-US" w:eastAsia="zh-CN"/>
        </w:rPr>
      </w:pPr>
      <w:r>
        <w:rPr>
          <w:rFonts w:hint="eastAsia" w:ascii="仿宋_GB2312" w:hAnsi="仿宋_GB2312" w:eastAsia="仿宋_GB2312" w:cs="仿宋_GB2312"/>
          <w:sz w:val="32"/>
          <w:szCs w:val="32"/>
          <w:lang w:val="en-US" w:eastAsia="zh-CN"/>
        </w:rPr>
        <w:t>以上每个评分细项均分为三个档次，每个档次依次下降2分（档次相同可并列）。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（三）项目案例（满分15分）</w:t>
      </w:r>
    </w:p>
    <w:p>
      <w:pPr>
        <w:widowControl/>
        <w:spacing w:line="52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1.供应商应提供业绩合同复印件关键页或甲方出具的证明文件或成交通知书复印件加盖公章，否则不计分。</w:t>
      </w:r>
      <w:r>
        <w:rPr>
          <w:rFonts w:hint="default" w:ascii="仿宋_GB2312" w:hAnsi="仿宋_GB2312" w:eastAsia="仿宋_GB2312" w:cs="仿宋_GB2312"/>
          <w:sz w:val="32"/>
          <w:szCs w:val="32"/>
          <w:lang w:val="en-US" w:eastAsia="zh-CN"/>
        </w:rPr>
        <w:t>在同等</w:t>
      </w:r>
      <w:r>
        <w:rPr>
          <w:rFonts w:hint="eastAsia" w:ascii="仿宋_GB2312" w:hAnsi="仿宋_GB2312" w:eastAsia="仿宋_GB2312" w:cs="仿宋_GB2312"/>
          <w:sz w:val="32"/>
          <w:szCs w:val="32"/>
          <w:lang w:val="en-US" w:eastAsia="zh-CN"/>
        </w:rPr>
        <w:t>条件下（如最终评分相同），优先选择</w:t>
      </w:r>
      <w:r>
        <w:rPr>
          <w:rFonts w:hint="eastAsia" w:ascii="仿宋_GB2312" w:hAnsi="仿宋_GB2312" w:eastAsia="仿宋_GB2312" w:cs="仿宋_GB2312"/>
          <w:kern w:val="0"/>
          <w:sz w:val="32"/>
          <w:szCs w:val="32"/>
          <w:lang w:val="en-US" w:eastAsia="zh-CN" w:bidi="ar"/>
        </w:rPr>
        <w:t>拥有大型演出案例（国家级）的演出服务供应商</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仿宋_GB2312" w:hAnsi="仿宋_GB2312" w:eastAsia="仿宋_GB2312" w:cs="仿宋_GB2312"/>
          <w:color w:val="auto"/>
          <w:sz w:val="32"/>
          <w:szCs w:val="32"/>
          <w:lang w:val="en-US" w:eastAsia="zh-CN"/>
        </w:rPr>
        <w:t>2.比较所提供的项目案例的规模和数量分为三个档次，</w:t>
      </w:r>
      <w:r>
        <w:rPr>
          <w:rFonts w:hint="eastAsia" w:ascii="仿宋_GB2312" w:hAnsi="仿宋_GB2312" w:eastAsia="仿宋_GB2312" w:cs="仿宋_GB2312"/>
          <w:sz w:val="32"/>
          <w:szCs w:val="32"/>
          <w:lang w:val="en-US" w:eastAsia="zh-CN"/>
        </w:rPr>
        <w:t>每个档次依次下降2分（档次相同可并列）。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第五章 合同主要条款</w:t>
      </w:r>
    </w:p>
    <w:p>
      <w:pPr>
        <w:rPr>
          <w:rFonts w:hint="eastAsia" w:ascii="黑体" w:hAnsi="黑体" w:eastAsia="黑体" w:cs="黑体"/>
          <w:color w:val="000000"/>
          <w:kern w:val="0"/>
          <w:sz w:val="32"/>
          <w:szCs w:val="32"/>
        </w:rPr>
      </w:pPr>
    </w:p>
    <w:p>
      <w:pPr>
        <w:rPr>
          <w:rFonts w:hint="eastAsia" w:ascii="方正小标宋简体" w:hAnsi="方正小标宋简体" w:eastAsia="方正小标宋简体" w:cs="方正小标宋简体"/>
          <w:color w:val="000000"/>
          <w:kern w:val="0"/>
          <w:sz w:val="44"/>
          <w:szCs w:val="44"/>
        </w:rPr>
      </w:pPr>
      <w:r>
        <w:rPr>
          <w:rFonts w:hint="eastAsia" w:ascii="黑体" w:hAnsi="黑体" w:eastAsia="黑体" w:cs="黑体"/>
          <w:color w:val="000000"/>
          <w:kern w:val="0"/>
          <w:sz w:val="32"/>
          <w:szCs w:val="32"/>
        </w:rPr>
        <w:t>甲方：</w:t>
      </w:r>
      <w:r>
        <w:rPr>
          <w:rFonts w:hint="eastAsia" w:ascii="黑体" w:hAnsi="黑体" w:eastAsia="黑体" w:cs="黑体"/>
          <w:kern w:val="0"/>
          <w:sz w:val="32"/>
          <w:szCs w:val="32"/>
        </w:rPr>
        <w:t>南宁市工人文化宫</w:t>
      </w:r>
    </w:p>
    <w:p>
      <w:pPr>
        <w:widowControl/>
        <w:spacing w:line="560" w:lineRule="exact"/>
        <w:rPr>
          <w:rFonts w:hint="eastAsia" w:ascii="黑体" w:hAnsi="黑体" w:eastAsia="黑体" w:cs="黑体"/>
          <w:kern w:val="0"/>
          <w:sz w:val="32"/>
          <w:szCs w:val="32"/>
        </w:rPr>
      </w:pPr>
      <w:r>
        <w:rPr>
          <w:rFonts w:hint="eastAsia" w:ascii="黑体" w:hAnsi="黑体" w:eastAsia="黑体" w:cs="黑体"/>
          <w:color w:val="000000"/>
          <w:kern w:val="0"/>
          <w:sz w:val="32"/>
          <w:szCs w:val="32"/>
        </w:rPr>
        <w:t>乙方</w:t>
      </w:r>
      <w:r>
        <w:rPr>
          <w:rFonts w:hint="eastAsia" w:ascii="黑体" w:hAnsi="黑体" w:eastAsia="黑体" w:cs="黑体"/>
          <w:kern w:val="0"/>
          <w:sz w:val="32"/>
          <w:szCs w:val="32"/>
        </w:rPr>
        <w:t>：</w:t>
      </w:r>
    </w:p>
    <w:p>
      <w:pPr>
        <w:widowControl/>
        <w:spacing w:line="560" w:lineRule="exact"/>
        <w:ind w:firstLine="56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28"/>
          <w:szCs w:val="28"/>
        </w:rPr>
        <w:t xml:space="preserve"> </w:t>
      </w:r>
      <w:r>
        <w:rPr>
          <w:rFonts w:hint="eastAsia" w:ascii="宋体" w:hAnsi="宋体" w:cs="宋体"/>
          <w:color w:val="auto"/>
          <w:kern w:val="0"/>
          <w:sz w:val="28"/>
          <w:szCs w:val="28"/>
          <w:lang w:val="en-US" w:eastAsia="zh-CN"/>
        </w:rPr>
        <w:t xml:space="preserve"> </w:t>
      </w:r>
      <w:r>
        <w:rPr>
          <w:rFonts w:hint="eastAsia" w:ascii="仿宋_GB2312" w:hAnsi="仿宋_GB2312" w:eastAsia="仿宋_GB2312" w:cs="仿宋_GB2312"/>
          <w:color w:val="auto"/>
          <w:kern w:val="0"/>
          <w:sz w:val="32"/>
          <w:szCs w:val="32"/>
        </w:rPr>
        <w:t>经甲乙双方友好商定，关于乙方向甲方提供设备租赁服务事宜，依照《中华人民共和国</w:t>
      </w:r>
      <w:r>
        <w:rPr>
          <w:rFonts w:hint="eastAsia" w:ascii="仿宋_GB2312" w:hAnsi="仿宋_GB2312" w:eastAsia="仿宋_GB2312" w:cs="仿宋_GB2312"/>
          <w:color w:val="auto"/>
          <w:sz w:val="32"/>
          <w:szCs w:val="32"/>
        </w:rPr>
        <w:t>民法典</w:t>
      </w:r>
      <w:r>
        <w:rPr>
          <w:rFonts w:hint="eastAsia" w:ascii="仿宋_GB2312" w:hAnsi="仿宋_GB2312" w:eastAsia="仿宋_GB2312" w:cs="仿宋_GB2312"/>
          <w:color w:val="auto"/>
          <w:kern w:val="0"/>
          <w:sz w:val="32"/>
          <w:szCs w:val="32"/>
        </w:rPr>
        <w:t>》有关规定，为明确双方的权利和义务，</w:t>
      </w:r>
      <w:r>
        <w:rPr>
          <w:rFonts w:hint="eastAsia" w:ascii="仿宋_GB2312" w:hAnsi="仿宋_GB2312" w:eastAsia="仿宋_GB2312" w:cs="仿宋_GB2312"/>
          <w:kern w:val="0"/>
          <w:sz w:val="32"/>
          <w:szCs w:val="32"/>
        </w:rPr>
        <w:t>经双方友好协商签订本协议。</w:t>
      </w:r>
    </w:p>
    <w:p>
      <w:pPr>
        <w:widowControl/>
        <w:spacing w:line="560" w:lineRule="exact"/>
        <w:ind w:firstLine="640" w:firstLineChars="200"/>
        <w:jc w:val="left"/>
        <w:rPr>
          <w:rFonts w:hint="default" w:ascii="仿宋_GB2312" w:hAnsi="仿宋_GB2312" w:eastAsia="仿宋_GB2312" w:cs="仿宋_GB2312"/>
          <w:kern w:val="0"/>
          <w:sz w:val="32"/>
          <w:szCs w:val="32"/>
          <w:lang w:val="en-US" w:eastAsia="zh-CN"/>
        </w:rPr>
      </w:pPr>
      <w:r>
        <w:rPr>
          <w:rFonts w:hint="eastAsia" w:ascii="黑体" w:hAnsi="黑体" w:eastAsia="黑体" w:cs="黑体"/>
          <w:kern w:val="0"/>
          <w:sz w:val="32"/>
          <w:szCs w:val="32"/>
        </w:rPr>
        <w:t>一、地点</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民主路20号市工人文化宫职工广场</w:t>
      </w:r>
    </w:p>
    <w:p>
      <w:pPr>
        <w:spacing w:line="560" w:lineRule="exact"/>
        <w:ind w:firstLine="640" w:firstLineChars="200"/>
        <w:rPr>
          <w:rFonts w:hint="default" w:ascii="仿宋_GB2312" w:hAnsi="仿宋_GB2312" w:eastAsia="仿宋" w:cs="仿宋_GB2312"/>
          <w:kern w:val="0"/>
          <w:sz w:val="32"/>
          <w:szCs w:val="32"/>
          <w:lang w:val="en-US" w:eastAsia="zh-CN"/>
        </w:rPr>
      </w:pPr>
      <w:r>
        <w:rPr>
          <w:rFonts w:hint="eastAsia" w:ascii="黑体" w:hAnsi="黑体" w:eastAsia="黑体" w:cs="黑体"/>
          <w:kern w:val="0"/>
          <w:sz w:val="32"/>
          <w:szCs w:val="32"/>
        </w:rPr>
        <w:t>二</w:t>
      </w:r>
      <w:r>
        <w:rPr>
          <w:rFonts w:hint="eastAsia" w:ascii="黑体" w:hAnsi="黑体" w:eastAsia="黑体" w:cs="黑体"/>
          <w:kern w:val="0"/>
          <w:sz w:val="32"/>
          <w:szCs w:val="32"/>
          <w:lang w:eastAsia="zh-CN"/>
        </w:rPr>
        <w:t>、</w:t>
      </w:r>
      <w:r>
        <w:rPr>
          <w:rFonts w:hint="eastAsia" w:ascii="黑体" w:hAnsi="黑体" w:eastAsia="黑体" w:cs="黑体"/>
          <w:kern w:val="0"/>
          <w:sz w:val="32"/>
          <w:szCs w:val="32"/>
        </w:rPr>
        <w:t>时间：</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9月27日</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rPr>
        <w:t>三、项目主题：</w:t>
      </w:r>
      <w:r>
        <w:rPr>
          <w:rFonts w:hint="eastAsia" w:ascii="仿宋_GB2312" w:hAnsi="仿宋_GB2312" w:eastAsia="仿宋_GB2312" w:cs="仿宋_GB2312"/>
          <w:bCs/>
          <w:color w:val="000000"/>
          <w:sz w:val="32"/>
          <w:szCs w:val="32"/>
          <w:lang w:val="en-US" w:eastAsia="zh-CN"/>
        </w:rPr>
        <w:t>“中国梦·劳动美——凝心铸魂跟党走 团结奋斗新征程”南宁市首届职工文化艺术节闭幕式展演</w:t>
      </w:r>
      <w:r>
        <w:rPr>
          <w:rFonts w:hint="eastAsia" w:ascii="仿宋_GB2312" w:hAnsi="仿宋_GB2312" w:eastAsia="仿宋_GB2312" w:cs="仿宋_GB2312"/>
          <w:sz w:val="32"/>
          <w:szCs w:val="32"/>
        </w:rPr>
        <w:t>。</w:t>
      </w:r>
    </w:p>
    <w:p>
      <w:pPr>
        <w:widowControl/>
        <w:spacing w:line="560" w:lineRule="exact"/>
        <w:ind w:firstLine="640" w:firstLineChars="200"/>
        <w:jc w:val="left"/>
        <w:rPr>
          <w:rFonts w:hint="eastAsia" w:ascii="仿宋_GB2312" w:hAnsi="仿宋_GB2312" w:eastAsia="仿宋_GB2312" w:cs="仿宋_GB2312"/>
          <w:b/>
          <w:sz w:val="32"/>
          <w:szCs w:val="32"/>
          <w:lang w:eastAsia="zh-CN"/>
        </w:rPr>
      </w:pPr>
      <w:r>
        <w:rPr>
          <w:rFonts w:hint="eastAsia" w:ascii="黑体" w:hAnsi="黑体" w:eastAsia="黑体" w:cs="黑体"/>
          <w:kern w:val="0"/>
          <w:sz w:val="32"/>
          <w:szCs w:val="32"/>
        </w:rPr>
        <w:t>四、</w:t>
      </w:r>
      <w:r>
        <w:rPr>
          <w:rFonts w:hint="eastAsia" w:ascii="黑体" w:hAnsi="黑体" w:eastAsia="黑体" w:cs="黑体"/>
          <w:kern w:val="0"/>
          <w:sz w:val="32"/>
          <w:szCs w:val="32"/>
          <w:lang w:val="en-US" w:eastAsia="zh-CN"/>
        </w:rPr>
        <w:t>项目</w:t>
      </w:r>
      <w:r>
        <w:rPr>
          <w:rFonts w:hint="eastAsia" w:ascii="黑体" w:hAnsi="黑体" w:eastAsia="黑体" w:cs="黑体"/>
          <w:kern w:val="0"/>
          <w:sz w:val="32"/>
          <w:szCs w:val="32"/>
        </w:rPr>
        <w:t>内容：</w:t>
      </w:r>
      <w:r>
        <w:rPr>
          <w:rFonts w:hint="eastAsia" w:ascii="仿宋_GB2312" w:hAnsi="仿宋_GB2312" w:eastAsia="仿宋_GB2312" w:cs="仿宋_GB2312"/>
          <w:kern w:val="0"/>
          <w:sz w:val="32"/>
          <w:szCs w:val="32"/>
        </w:rPr>
        <w:t>乙方按照甲方要求提供舞台</w:t>
      </w:r>
      <w:r>
        <w:rPr>
          <w:rFonts w:hint="eastAsia" w:ascii="仿宋_GB2312" w:hAnsi="仿宋_GB2312" w:eastAsia="仿宋_GB2312" w:cs="仿宋_GB2312"/>
          <w:kern w:val="0"/>
          <w:sz w:val="32"/>
          <w:szCs w:val="32"/>
          <w:lang w:val="en-US" w:eastAsia="zh-CN"/>
        </w:rPr>
        <w:t>灯光音响舞美演出</w:t>
      </w:r>
      <w:r>
        <w:rPr>
          <w:rFonts w:hint="eastAsia" w:ascii="仿宋_GB2312" w:hAnsi="仿宋_GB2312" w:eastAsia="仿宋_GB2312" w:cs="仿宋_GB2312"/>
          <w:kern w:val="0"/>
          <w:sz w:val="32"/>
          <w:szCs w:val="32"/>
        </w:rPr>
        <w:t>设备租赁服务</w:t>
      </w:r>
      <w:r>
        <w:rPr>
          <w:rFonts w:hint="eastAsia" w:ascii="仿宋_GB2312" w:hAnsi="仿宋_GB2312" w:eastAsia="仿宋_GB2312" w:cs="仿宋_GB2312"/>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五、</w:t>
      </w:r>
      <w:r>
        <w:rPr>
          <w:rFonts w:hint="eastAsia" w:ascii="黑体" w:hAnsi="黑体" w:eastAsia="黑体" w:cs="黑体"/>
          <w:kern w:val="0"/>
          <w:sz w:val="32"/>
          <w:szCs w:val="32"/>
          <w:lang w:val="en-US" w:eastAsia="zh-CN"/>
        </w:rPr>
        <w:t>协议</w:t>
      </w:r>
      <w:r>
        <w:rPr>
          <w:rFonts w:hint="eastAsia" w:ascii="黑体" w:hAnsi="黑体" w:eastAsia="黑体" w:cs="黑体"/>
          <w:kern w:val="0"/>
          <w:sz w:val="32"/>
          <w:szCs w:val="32"/>
        </w:rPr>
        <w:t>价款：</w:t>
      </w:r>
      <w:r>
        <w:rPr>
          <w:rFonts w:hint="eastAsia" w:ascii="仿宋_GB2312" w:hAnsi="仿宋_GB2312" w:eastAsia="仿宋_GB2312" w:cs="仿宋_GB2312"/>
          <w:kern w:val="0"/>
          <w:sz w:val="32"/>
          <w:szCs w:val="32"/>
          <w:lang w:val="en-US" w:eastAsia="zh-CN"/>
        </w:rPr>
        <w:t>2场舞台设备</w:t>
      </w:r>
      <w:r>
        <w:rPr>
          <w:rFonts w:hint="eastAsia" w:ascii="仿宋_GB2312" w:hAnsi="仿宋_GB2312" w:eastAsia="仿宋_GB2312" w:cs="仿宋_GB2312"/>
          <w:color w:val="auto"/>
          <w:kern w:val="0"/>
          <w:sz w:val="32"/>
          <w:szCs w:val="32"/>
          <w:lang w:val="en-US" w:eastAsia="zh-CN"/>
        </w:rPr>
        <w:t>租赁服务</w:t>
      </w:r>
      <w:r>
        <w:rPr>
          <w:rFonts w:hint="eastAsia" w:ascii="仿宋_GB2312" w:hAnsi="仿宋_GB2312" w:eastAsia="仿宋_GB2312" w:cs="仿宋_GB2312"/>
          <w:color w:val="auto"/>
          <w:kern w:val="0"/>
          <w:sz w:val="32"/>
          <w:szCs w:val="32"/>
          <w:lang w:eastAsia="zh-CN"/>
        </w:rPr>
        <w:t>费用</w:t>
      </w:r>
      <w:r>
        <w:rPr>
          <w:rFonts w:hint="eastAsia" w:ascii="仿宋_GB2312" w:hAnsi="仿宋_GB2312" w:eastAsia="仿宋_GB2312" w:cs="仿宋_GB2312"/>
          <w:color w:val="auto"/>
          <w:kern w:val="0"/>
          <w:sz w:val="32"/>
          <w:szCs w:val="32"/>
        </w:rPr>
        <w:t>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含税</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人民币</w:t>
      </w:r>
      <w:r>
        <w:rPr>
          <w:rFonts w:hint="eastAsia" w:ascii="仿宋_GB2312" w:hAnsi="仿宋_GB2312" w:eastAsia="仿宋_GB2312" w:cs="仿宋_GB2312"/>
          <w:color w:val="auto"/>
          <w:kern w:val="0"/>
          <w:sz w:val="31"/>
          <w:szCs w:val="31"/>
          <w:u w:val="single"/>
          <w:lang w:val="en-US" w:eastAsia="zh-CN" w:bidi="ar"/>
        </w:rPr>
        <w:t xml:space="preserve">               </w:t>
      </w:r>
      <w:r>
        <w:rPr>
          <w:rFonts w:hint="eastAsia" w:ascii="仿宋_GB2312" w:hAnsi="仿宋_GB2312" w:eastAsia="仿宋_GB2312" w:cs="仿宋_GB2312"/>
          <w:b w:val="0"/>
          <w:bCs w:val="0"/>
          <w:color w:val="auto"/>
          <w:kern w:val="0"/>
          <w:sz w:val="32"/>
          <w:szCs w:val="32"/>
          <w:u w:val="single"/>
          <w:lang w:val="en-US" w:eastAsia="zh-CN"/>
        </w:rPr>
        <w:t>。</w:t>
      </w:r>
      <w:r>
        <w:rPr>
          <w:rFonts w:hint="eastAsia" w:ascii="仿宋_GB2312" w:hAnsi="仿宋_GB2312" w:eastAsia="仿宋_GB2312" w:cs="仿宋_GB2312"/>
          <w:kern w:val="0"/>
          <w:sz w:val="32"/>
          <w:szCs w:val="32"/>
        </w:rPr>
        <w:t>如有项目外的其</w:t>
      </w:r>
      <w:r>
        <w:rPr>
          <w:rFonts w:hint="eastAsia" w:ascii="仿宋_GB2312" w:hAnsi="仿宋_GB2312" w:eastAsia="仿宋_GB2312" w:cs="仿宋_GB2312"/>
          <w:color w:val="auto"/>
          <w:kern w:val="0"/>
          <w:sz w:val="32"/>
          <w:szCs w:val="32"/>
          <w:lang w:val="en-US" w:eastAsia="zh-CN"/>
        </w:rPr>
        <w:t>他制作及服务发生费</w:t>
      </w:r>
      <w:r>
        <w:rPr>
          <w:rFonts w:hint="eastAsia" w:ascii="仿宋_GB2312" w:hAnsi="仿宋_GB2312" w:eastAsia="仿宋_GB2312" w:cs="仿宋_GB2312"/>
          <w:b w:val="0"/>
          <w:bCs w:val="0"/>
          <w:color w:val="auto"/>
          <w:sz w:val="32"/>
          <w:szCs w:val="32"/>
        </w:rPr>
        <w:t>用的，应由双方事先协商，按实际发生的金额确定结</w:t>
      </w:r>
      <w:r>
        <w:rPr>
          <w:rFonts w:hint="eastAsia" w:ascii="仿宋_GB2312" w:hAnsi="仿宋_GB2312" w:eastAsia="仿宋_GB2312" w:cs="仿宋_GB2312"/>
          <w:kern w:val="0"/>
          <w:sz w:val="32"/>
          <w:szCs w:val="32"/>
        </w:rPr>
        <w:t>算。</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六、款项支付</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color w:val="auto"/>
          <w:kern w:val="0"/>
          <w:sz w:val="32"/>
          <w:szCs w:val="32"/>
          <w:lang w:val="en-US" w:eastAsia="zh-Hans"/>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在舞台设备搭建验收合格及设备正常使用晚会结束后，</w:t>
      </w:r>
      <w:r>
        <w:rPr>
          <w:rFonts w:hint="eastAsia" w:ascii="仿宋_GB2312" w:hAnsi="仿宋_GB2312" w:eastAsia="仿宋_GB2312" w:cs="仿宋_GB2312"/>
          <w:color w:val="auto"/>
          <w:kern w:val="0"/>
          <w:sz w:val="32"/>
          <w:szCs w:val="32"/>
          <w:lang w:val="en-US" w:eastAsia="zh-Hans"/>
        </w:rPr>
        <w:t>乙方开具</w:t>
      </w:r>
      <w:r>
        <w:rPr>
          <w:rFonts w:hint="eastAsia" w:ascii="仿宋_GB2312" w:hAnsi="仿宋_GB2312" w:eastAsia="仿宋_GB2312" w:cs="仿宋_GB2312"/>
          <w:color w:val="auto"/>
          <w:kern w:val="0"/>
          <w:sz w:val="32"/>
          <w:szCs w:val="32"/>
          <w:lang w:val="en-US" w:eastAsia="zh-CN"/>
        </w:rPr>
        <w:t>协议价款的</w:t>
      </w:r>
      <w:r>
        <w:rPr>
          <w:rFonts w:hint="eastAsia" w:ascii="仿宋_GB2312" w:hAnsi="仿宋_GB2312" w:eastAsia="仿宋_GB2312" w:cs="仿宋_GB2312"/>
          <w:color w:val="auto"/>
          <w:kern w:val="0"/>
          <w:sz w:val="32"/>
          <w:szCs w:val="32"/>
          <w:lang w:val="en-US" w:eastAsia="zh-Hans"/>
        </w:rPr>
        <w:t>等额合格增值税发票</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Hans"/>
        </w:rPr>
        <w:t>经确认无误后</w:t>
      </w: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lang w:val="en-US" w:eastAsia="zh-Hans"/>
        </w:rPr>
        <w:t>个工作日内，</w:t>
      </w:r>
      <w:r>
        <w:rPr>
          <w:rFonts w:hint="eastAsia" w:ascii="仿宋_GB2312" w:hAnsi="仿宋_GB2312" w:eastAsia="仿宋_GB2312" w:cs="仿宋_GB2312"/>
          <w:color w:val="auto"/>
          <w:kern w:val="0"/>
          <w:sz w:val="32"/>
          <w:szCs w:val="32"/>
          <w:lang w:val="en-US" w:eastAsia="zh-CN"/>
        </w:rPr>
        <w:t>甲方一次性</w:t>
      </w:r>
      <w:r>
        <w:rPr>
          <w:rFonts w:hint="eastAsia" w:ascii="仿宋_GB2312" w:hAnsi="仿宋_GB2312" w:eastAsia="仿宋_GB2312" w:cs="仿宋_GB2312"/>
          <w:color w:val="000000"/>
          <w:kern w:val="0"/>
          <w:sz w:val="32"/>
          <w:szCs w:val="32"/>
          <w:lang w:val="en-US" w:eastAsia="zh-Hans"/>
        </w:rPr>
        <w:t>向乙方支付本合同款</w:t>
      </w:r>
      <w:r>
        <w:rPr>
          <w:rFonts w:hint="eastAsia" w:ascii="仿宋_GB2312" w:hAnsi="仿宋_GB2312" w:eastAsia="仿宋_GB2312" w:cs="仿宋_GB2312"/>
          <w:color w:val="auto"/>
          <w:kern w:val="0"/>
          <w:sz w:val="32"/>
          <w:szCs w:val="32"/>
          <w:lang w:val="en-US" w:eastAsia="zh-Hans"/>
        </w:rPr>
        <w:t>。乙方延迟交付发票或开具的发票不合格的，甲方有权延迟支付应付款项，且不承担任何违约责任。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甲方开票信息：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名称：南宁市工人文化宫</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纳税人识别号：12450100498520061L</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地址、电话：南宁市民主路20号 0771-2816290</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开户行：工商银行南宁共和支行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val="0"/>
          <w:bCs/>
          <w:color w:val="auto"/>
          <w:sz w:val="32"/>
          <w:szCs w:val="32"/>
        </w:rPr>
        <w:t>账号</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2102101009249015620</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乙方账户信息：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color w:val="auto"/>
          <w:sz w:val="32"/>
          <w:szCs w:val="32"/>
        </w:rPr>
        <w:t>户</w:t>
      </w:r>
      <w:r>
        <w:rPr>
          <w:rFonts w:hint="eastAsia" w:ascii="仿宋_GB2312" w:hAnsi="仿宋_GB2312" w:eastAsia="仿宋_GB2312" w:cs="仿宋_GB2312"/>
          <w:color w:val="auto"/>
          <w:sz w:val="32"/>
          <w:szCs w:val="32"/>
          <w:lang w:eastAsia="zh-CN"/>
        </w:rPr>
        <w:t>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color w:val="auto"/>
          <w:sz w:val="32"/>
          <w:szCs w:val="32"/>
          <w:lang w:val="en-US" w:eastAsia="zh-CN"/>
        </w:rPr>
        <w:t>地</w:t>
      </w:r>
      <w:r>
        <w:rPr>
          <w:rFonts w:hint="eastAsia" w:ascii="仿宋_GB2312" w:hAnsi="仿宋_GB2312" w:eastAsia="仿宋_GB2312" w:cs="仿宋_GB2312"/>
          <w:b w:val="0"/>
          <w:bCs/>
          <w:color w:val="auto"/>
          <w:sz w:val="32"/>
          <w:szCs w:val="32"/>
          <w:lang w:val="en-US" w:eastAsia="zh-CN"/>
        </w:rPr>
        <w:t>址：</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color w:val="auto"/>
          <w:sz w:val="32"/>
          <w:szCs w:val="32"/>
          <w:lang w:val="en-US"/>
        </w:rPr>
      </w:pPr>
      <w:r>
        <w:rPr>
          <w:rFonts w:hint="eastAsia" w:ascii="仿宋_GB2312" w:hAnsi="仿宋_GB2312" w:eastAsia="仿宋_GB2312" w:cs="仿宋_GB2312"/>
          <w:b w:val="0"/>
          <w:bCs/>
          <w:color w:val="auto"/>
          <w:sz w:val="32"/>
          <w:szCs w:val="32"/>
        </w:rPr>
        <w:t>账号：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rPr>
        <w:t>开户行：</w:t>
      </w:r>
    </w:p>
    <w:p>
      <w:pPr>
        <w:widowControl/>
        <w:numPr>
          <w:ilvl w:val="0"/>
          <w:numId w:val="0"/>
        </w:numPr>
        <w:spacing w:line="560" w:lineRule="exact"/>
        <w:ind w:firstLine="640" w:firstLineChars="200"/>
        <w:jc w:val="left"/>
        <w:rPr>
          <w:rFonts w:hint="eastAsia" w:ascii="黑体" w:hAnsi="黑体" w:eastAsia="黑体" w:cs="黑体"/>
          <w:kern w:val="0"/>
          <w:sz w:val="32"/>
          <w:szCs w:val="32"/>
          <w:lang w:bidi="ar"/>
        </w:rPr>
      </w:pPr>
      <w:r>
        <w:rPr>
          <w:rFonts w:hint="eastAsia" w:ascii="黑体" w:hAnsi="黑体" w:eastAsia="黑体" w:cs="黑体"/>
          <w:kern w:val="0"/>
          <w:sz w:val="32"/>
          <w:szCs w:val="32"/>
          <w:lang w:val="en-US" w:eastAsia="zh-CN" w:bidi="ar"/>
        </w:rPr>
        <w:t>七、</w:t>
      </w:r>
      <w:r>
        <w:rPr>
          <w:rFonts w:hint="eastAsia" w:ascii="黑体" w:hAnsi="黑体" w:eastAsia="黑体" w:cs="黑体"/>
          <w:kern w:val="0"/>
          <w:sz w:val="32"/>
          <w:szCs w:val="32"/>
          <w:lang w:bidi="ar"/>
        </w:rPr>
        <w:t>甲方工作</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协助乙方办理进场手续。</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2.负责协调现场施工工作。</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3.保证现场器材的安保协调。</w:t>
      </w:r>
    </w:p>
    <w:p>
      <w:pPr>
        <w:widowControl/>
        <w:spacing w:line="560" w:lineRule="exact"/>
        <w:ind w:firstLine="640" w:firstLineChars="200"/>
        <w:jc w:val="left"/>
        <w:rPr>
          <w:rFonts w:ascii="仿宋" w:hAnsi="仿宋" w:eastAsia="仿宋" w:cs="仿宋"/>
          <w:kern w:val="0"/>
          <w:sz w:val="32"/>
          <w:szCs w:val="32"/>
        </w:rPr>
      </w:pPr>
      <w:r>
        <w:rPr>
          <w:rFonts w:hint="eastAsia" w:ascii="仿宋_GB2312" w:hAnsi="仿宋_GB2312" w:eastAsia="仿宋_GB2312" w:cs="仿宋_GB2312"/>
          <w:kern w:val="0"/>
          <w:sz w:val="32"/>
          <w:szCs w:val="32"/>
        </w:rPr>
        <w:t>4.如期足额交付服务费用。</w:t>
      </w:r>
      <w:r>
        <w:rPr>
          <w:rFonts w:hint="eastAsia" w:ascii="仿宋_GB2312" w:hAnsi="仿宋_GB2312" w:eastAsia="仿宋_GB2312" w:cs="仿宋_GB2312"/>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lang w:val="en-US" w:eastAsia="zh-CN" w:bidi="ar"/>
        </w:rPr>
        <w:t xml:space="preserve"> 八、</w:t>
      </w:r>
      <w:r>
        <w:rPr>
          <w:rFonts w:hint="eastAsia" w:ascii="黑体" w:hAnsi="黑体" w:eastAsia="黑体" w:cs="黑体"/>
          <w:kern w:val="0"/>
          <w:sz w:val="32"/>
          <w:szCs w:val="32"/>
        </w:rPr>
        <w:t>乙方工作</w:t>
      </w:r>
    </w:p>
    <w:p>
      <w:pPr>
        <w:widowControl/>
        <w:spacing w:line="560" w:lineRule="exact"/>
        <w:ind w:firstLine="640" w:firstLineChars="200"/>
        <w:jc w:val="left"/>
        <w:rPr>
          <w:rFonts w:hint="eastAsia" w:ascii="仿宋_GB2312" w:hAnsi="仿宋_GB2312" w:eastAsia="仿宋_GB2312" w:cs="仿宋_GB2312"/>
          <w:strike/>
          <w:dstrike w:val="0"/>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.按照甲方要求</w:t>
      </w:r>
      <w:r>
        <w:rPr>
          <w:rFonts w:hint="eastAsia" w:ascii="仿宋_GB2312" w:hAnsi="仿宋_GB2312" w:eastAsia="仿宋_GB2312" w:cs="仿宋_GB2312"/>
          <w:kern w:val="0"/>
          <w:sz w:val="32"/>
          <w:szCs w:val="32"/>
          <w:lang w:val="en-US" w:eastAsia="zh-CN"/>
        </w:rPr>
        <w:t>按照成交供应商报价清单上的设备提供</w:t>
      </w:r>
      <w:r>
        <w:rPr>
          <w:rFonts w:hint="eastAsia" w:ascii="仿宋_GB2312" w:hAnsi="仿宋_GB2312" w:eastAsia="仿宋_GB2312" w:cs="仿宋_GB2312"/>
          <w:kern w:val="0"/>
          <w:sz w:val="32"/>
          <w:szCs w:val="32"/>
        </w:rPr>
        <w:t>运输、安装、调试及使用</w:t>
      </w:r>
      <w:r>
        <w:rPr>
          <w:rFonts w:hint="eastAsia" w:ascii="仿宋_GB2312" w:hAnsi="仿宋_GB2312" w:eastAsia="仿宋_GB2312" w:cs="仿宋_GB2312"/>
          <w:kern w:val="0"/>
          <w:sz w:val="32"/>
          <w:szCs w:val="32"/>
          <w:lang w:val="en-US" w:eastAsia="zh-CN"/>
        </w:rPr>
        <w:t>服务</w:t>
      </w:r>
      <w:r>
        <w:rPr>
          <w:rFonts w:hint="eastAsia" w:ascii="仿宋_GB2312" w:hAnsi="仿宋_GB2312" w:eastAsia="仿宋_GB2312" w:cs="仿宋_GB2312"/>
          <w:strike w:val="0"/>
          <w:dstrike w:val="0"/>
          <w:kern w:val="0"/>
          <w:sz w:val="32"/>
          <w:szCs w:val="32"/>
        </w:rPr>
        <w:t>。</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演出</w:t>
      </w:r>
      <w:r>
        <w:rPr>
          <w:rFonts w:hint="eastAsia" w:ascii="仿宋_GB2312" w:hAnsi="仿宋_GB2312" w:eastAsia="仿宋_GB2312" w:cs="仿宋_GB2312"/>
          <w:kern w:val="0"/>
          <w:sz w:val="32"/>
          <w:szCs w:val="32"/>
        </w:rPr>
        <w:t>前完成设备进场安装</w:t>
      </w:r>
      <w:r>
        <w:rPr>
          <w:rFonts w:hint="eastAsia" w:ascii="仿宋_GB2312" w:hAnsi="仿宋_GB2312" w:eastAsia="仿宋_GB2312" w:cs="仿宋_GB2312"/>
          <w:kern w:val="0"/>
          <w:sz w:val="32"/>
          <w:szCs w:val="32"/>
          <w:lang w:val="en-US" w:eastAsia="zh-CN"/>
        </w:rPr>
        <w:t>调试</w:t>
      </w:r>
      <w:r>
        <w:rPr>
          <w:rFonts w:hint="eastAsia" w:ascii="仿宋_GB2312" w:hAnsi="仿宋_GB2312" w:eastAsia="仿宋_GB2312" w:cs="仿宋_GB2312"/>
          <w:kern w:val="0"/>
          <w:sz w:val="32"/>
          <w:szCs w:val="32"/>
        </w:rPr>
        <w:t>。</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.提供技术人员在现场进行协调及技术支持。</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.提供合法正规的发票。</w:t>
      </w:r>
    </w:p>
    <w:p>
      <w:pPr>
        <w:widowControl/>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九</w:t>
      </w:r>
      <w:r>
        <w:rPr>
          <w:rFonts w:hint="eastAsia" w:ascii="黑体" w:hAnsi="黑体" w:eastAsia="黑体" w:cs="黑体"/>
          <w:kern w:val="0"/>
          <w:sz w:val="32"/>
          <w:szCs w:val="32"/>
        </w:rPr>
        <w:t>、违约责任</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1.若甲方未能按本协议约定的时间足额向乙方支付费用，则视为甲方违约，每延期支付一日，应向乙方支付</w:t>
      </w:r>
      <w:r>
        <w:rPr>
          <w:rFonts w:hint="eastAsia" w:ascii="仿宋_GB2312" w:hAnsi="仿宋_GB2312" w:eastAsia="仿宋_GB2312" w:cs="仿宋_GB2312"/>
          <w:sz w:val="32"/>
          <w:szCs w:val="32"/>
        </w:rPr>
        <w:t>合同款项千分之三</w:t>
      </w:r>
      <w:r>
        <w:rPr>
          <w:rFonts w:hint="eastAsia" w:ascii="仿宋_GB2312" w:hAnsi="仿宋_GB2312" w:eastAsia="仿宋_GB2312" w:cs="仿宋_GB2312"/>
          <w:kern w:val="0"/>
          <w:sz w:val="32"/>
          <w:szCs w:val="32"/>
        </w:rPr>
        <w:t>滞纳金，且甲方已付经费不予退还。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SA"/>
        </w:rPr>
        <w:t>2.若乙方未按时或不完全履行协议义务，导致演出无法按时按约定进行的，乙方应向甲方支付本协议款百分之三十（30%）的违约金，造成涉及甲方的其他损失的，还应全额赔偿。</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3.若甲方更改活动的时间、地点，须至少在活动前三天通知乙方。如因不可抗力造成活动不能进行，甲乙双方均不承担违约责任，双方已发生费用由双方分别承担。</w:t>
      </w:r>
    </w:p>
    <w:p>
      <w:pPr>
        <w:adjustRightInd w:val="0"/>
        <w:snapToGrid w:val="0"/>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不可抗力事由过后，由甲方重新确定活动的时间、地点后通知乙方继续</w:t>
      </w:r>
      <w:r>
        <w:rPr>
          <w:rFonts w:hint="eastAsia" w:ascii="仿宋_GB2312" w:hAnsi="仿宋_GB2312" w:eastAsia="仿宋_GB2312" w:cs="仿宋_GB2312"/>
          <w:color w:val="auto"/>
          <w:sz w:val="32"/>
          <w:szCs w:val="32"/>
        </w:rPr>
        <w:t>履行合同尚未完成的合同内容。</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lang w:val="en-US" w:eastAsia="zh-CN"/>
        </w:rPr>
        <w:t>十</w:t>
      </w:r>
      <w:r>
        <w:rPr>
          <w:rFonts w:hint="eastAsia" w:ascii="黑体" w:hAnsi="黑体" w:eastAsia="黑体" w:cs="黑体"/>
          <w:kern w:val="0"/>
          <w:sz w:val="32"/>
          <w:szCs w:val="32"/>
        </w:rPr>
        <w:t>、争议：</w:t>
      </w:r>
      <w:r>
        <w:rPr>
          <w:rFonts w:hint="eastAsia" w:ascii="仿宋_GB2312" w:hAnsi="仿宋_GB2312" w:eastAsia="仿宋_GB2312" w:cs="仿宋_GB2312"/>
          <w:kern w:val="0"/>
          <w:sz w:val="32"/>
          <w:szCs w:val="32"/>
        </w:rPr>
        <w:t>本合同履行双方发生争议时，应积极通过友好协商方式解决，协商不成，任何一方均可</w:t>
      </w:r>
      <w:r>
        <w:rPr>
          <w:rFonts w:hint="eastAsia" w:ascii="仿宋_GB2312" w:hAnsi="仿宋_GB2312" w:eastAsia="仿宋_GB2312" w:cs="仿宋_GB2312"/>
          <w:color w:val="auto"/>
          <w:kern w:val="0"/>
          <w:sz w:val="32"/>
          <w:szCs w:val="32"/>
        </w:rPr>
        <w:t>通过甲方所在地的人民法院以法律途径解决争议。</w:t>
      </w:r>
      <w:r>
        <w:rPr>
          <w:rFonts w:hint="eastAsia" w:ascii="仿宋_GB2312" w:hAnsi="仿宋_GB2312" w:eastAsia="仿宋_GB2312" w:cs="仿宋_GB2312"/>
          <w:color w:val="auto"/>
          <w:kern w:val="0"/>
          <w:sz w:val="32"/>
          <w:szCs w:val="32"/>
        </w:rPr>
        <w:br w:type="textWrapping"/>
      </w:r>
      <w:r>
        <w:rPr>
          <w:rFonts w:hint="eastAsia" w:ascii="黑体" w:hAnsi="黑体" w:eastAsia="黑体" w:cs="黑体"/>
          <w:kern w:val="0"/>
          <w:sz w:val="32"/>
          <w:szCs w:val="32"/>
        </w:rPr>
        <w:t xml:space="preserve">    </w:t>
      </w:r>
      <w:r>
        <w:rPr>
          <w:rFonts w:hint="eastAsia" w:ascii="黑体" w:hAnsi="黑体" w:eastAsia="黑体" w:cs="黑体"/>
          <w:kern w:val="0"/>
          <w:sz w:val="32"/>
          <w:szCs w:val="32"/>
          <w:lang w:val="en-US" w:eastAsia="zh-CN"/>
        </w:rPr>
        <w:t>十一</w:t>
      </w:r>
      <w:r>
        <w:rPr>
          <w:rFonts w:hint="eastAsia" w:ascii="黑体" w:hAnsi="黑体" w:eastAsia="黑体" w:cs="黑体"/>
          <w:kern w:val="0"/>
          <w:sz w:val="32"/>
          <w:szCs w:val="32"/>
        </w:rPr>
        <w:t>、其他条款</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1.本协议自双方签字之日起生效。</w:t>
      </w:r>
    </w:p>
    <w:p>
      <w:pPr>
        <w:widowControl/>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2.本合同未列事项，双方可签订补充协议，补充协议与本合同具有同等法律效力。</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3.本合同一式</w:t>
      </w:r>
      <w:r>
        <w:rPr>
          <w:rFonts w:hint="eastAsia" w:ascii="仿宋_GB2312" w:hAnsi="仿宋_GB2312" w:eastAsia="仿宋_GB2312" w:cs="仿宋_GB2312"/>
          <w:color w:val="000000"/>
          <w:kern w:val="0"/>
          <w:sz w:val="32"/>
          <w:szCs w:val="32"/>
          <w:lang w:val="en-US" w:eastAsia="zh-CN"/>
        </w:rPr>
        <w:t>肆</w:t>
      </w:r>
      <w:r>
        <w:rPr>
          <w:rFonts w:hint="eastAsia" w:ascii="仿宋_GB2312" w:hAnsi="仿宋_GB2312" w:eastAsia="仿宋_GB2312" w:cs="仿宋_GB2312"/>
          <w:color w:val="000000"/>
          <w:kern w:val="0"/>
          <w:sz w:val="32"/>
          <w:szCs w:val="32"/>
        </w:rPr>
        <w:t>份，甲方执</w:t>
      </w:r>
      <w:r>
        <w:rPr>
          <w:rFonts w:hint="eastAsia" w:ascii="仿宋_GB2312" w:hAnsi="仿宋_GB2312" w:eastAsia="仿宋_GB2312" w:cs="仿宋_GB2312"/>
          <w:color w:val="000000"/>
          <w:kern w:val="0"/>
          <w:sz w:val="32"/>
          <w:szCs w:val="32"/>
          <w:lang w:val="en-US" w:eastAsia="zh-CN"/>
        </w:rPr>
        <w:t>叁</w:t>
      </w:r>
      <w:r>
        <w:rPr>
          <w:rFonts w:hint="eastAsia" w:ascii="仿宋_GB2312" w:hAnsi="仿宋_GB2312" w:eastAsia="仿宋_GB2312" w:cs="仿宋_GB2312"/>
          <w:color w:val="000000"/>
          <w:kern w:val="0"/>
          <w:sz w:val="32"/>
          <w:szCs w:val="32"/>
        </w:rPr>
        <w:t>份乙方执壹份，复印及扫描</w:t>
      </w:r>
      <w:r>
        <w:rPr>
          <w:rFonts w:hint="eastAsia" w:ascii="仿宋_GB2312" w:hAnsi="仿宋_GB2312" w:eastAsia="仿宋_GB2312" w:cs="仿宋_GB2312"/>
          <w:kern w:val="0"/>
          <w:sz w:val="32"/>
          <w:szCs w:val="32"/>
        </w:rPr>
        <w:t>文件同样有效。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1918" w:leftChars="304" w:hanging="1280" w:hangingChars="4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附件：</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成交供应商</w:t>
      </w:r>
      <w:r>
        <w:rPr>
          <w:rFonts w:hint="eastAsia" w:ascii="仿宋_GB2312" w:hAnsi="仿宋_GB2312" w:eastAsia="仿宋_GB2312" w:cs="仿宋_GB2312"/>
          <w:color w:val="auto"/>
          <w:kern w:val="0"/>
          <w:sz w:val="32"/>
          <w:szCs w:val="32"/>
          <w:lang w:val="en-US" w:eastAsia="zh-CN"/>
        </w:rPr>
        <w:t>舞台设备租赁项目报价单</w:t>
      </w:r>
      <w:r>
        <w:rPr>
          <w:rFonts w:hint="eastAsia" w:ascii="仿宋_GB2312" w:hAnsi="仿宋_GB2312" w:eastAsia="仿宋_GB2312" w:cs="仿宋_GB2312"/>
          <w:kern w:val="0"/>
          <w:sz w:val="32"/>
          <w:szCs w:val="32"/>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Chars="0"/>
        <w:jc w:val="center"/>
        <w:textAlignment w:val="auto"/>
        <w:rPr>
          <w:rFonts w:hint="eastAsia" w:ascii="仿宋_GB2312" w:hAnsi="仿宋_GB2312" w:eastAsia="仿宋_GB2312" w:cs="仿宋_GB2312"/>
          <w:color w:val="auto"/>
          <w:kern w:val="0"/>
          <w:sz w:val="32"/>
          <w:szCs w:val="32"/>
        </w:rPr>
      </w:pPr>
    </w:p>
    <w:p>
      <w:pPr>
        <w:widowControl/>
        <w:spacing w:line="560" w:lineRule="exact"/>
        <w:ind w:left="5760" w:hanging="5760" w:hangingChars="1800"/>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甲</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方：南宁市工人文化宫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乙</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方：       </w:t>
      </w:r>
    </w:p>
    <w:p>
      <w:pPr>
        <w:widowControl/>
        <w:spacing w:line="56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项目负责人</w:t>
      </w:r>
      <w:r>
        <w:rPr>
          <w:rFonts w:hint="eastAsia" w:ascii="仿宋_GB2312" w:hAnsi="仿宋_GB2312" w:eastAsia="仿宋_GB2312" w:cs="仿宋_GB2312"/>
          <w:color w:val="000000"/>
          <w:kern w:val="0"/>
          <w:sz w:val="32"/>
          <w:szCs w:val="32"/>
        </w:rPr>
        <w:t xml:space="preserve">（签字）：          </w:t>
      </w:r>
      <w:r>
        <w:rPr>
          <w:rFonts w:hint="eastAsia" w:ascii="仿宋_GB2312" w:hAnsi="仿宋_GB2312" w:eastAsia="仿宋_GB2312" w:cs="仿宋_GB2312"/>
          <w:color w:val="000000"/>
          <w:kern w:val="0"/>
          <w:sz w:val="32"/>
          <w:szCs w:val="32"/>
          <w:lang w:val="en-US" w:eastAsia="zh-CN"/>
        </w:rPr>
        <w:t xml:space="preserve">   项目负责人</w:t>
      </w:r>
      <w:r>
        <w:rPr>
          <w:rFonts w:hint="eastAsia" w:ascii="仿宋_GB2312" w:hAnsi="仿宋_GB2312" w:eastAsia="仿宋_GB2312" w:cs="仿宋_GB2312"/>
          <w:color w:val="000000"/>
          <w:kern w:val="0"/>
          <w:sz w:val="32"/>
          <w:szCs w:val="32"/>
        </w:rPr>
        <w:t>（签字）：</w:t>
      </w:r>
    </w:p>
    <w:p>
      <w:pPr>
        <w:spacing w:line="5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签字日期：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签字日期：</w:t>
      </w:r>
    </w:p>
    <w:p>
      <w:pPr>
        <w:pStyle w:val="2"/>
        <w:rPr>
          <w:rFonts w:hint="default"/>
          <w:lang w:val="en-US" w:eastAsia="zh-CN"/>
        </w:rPr>
      </w:pPr>
    </w:p>
    <w:sectPr>
      <w:footerReference r:id="rId3" w:type="default"/>
      <w:pgSz w:w="11906" w:h="16838"/>
      <w:pgMar w:top="2098" w:right="1531"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8A725"/>
    <w:multiLevelType w:val="singleLevel"/>
    <w:tmpl w:val="EA68A725"/>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OTQ5MWMxZWUyMzhmZjZhZmMxNGMwNzNjMjBmYjgifQ=="/>
  </w:docVars>
  <w:rsids>
    <w:rsidRoot w:val="00000000"/>
    <w:rsid w:val="00172E78"/>
    <w:rsid w:val="002F3560"/>
    <w:rsid w:val="003D536C"/>
    <w:rsid w:val="00486C4D"/>
    <w:rsid w:val="00636B49"/>
    <w:rsid w:val="00732078"/>
    <w:rsid w:val="008953AA"/>
    <w:rsid w:val="00B73693"/>
    <w:rsid w:val="00FC501F"/>
    <w:rsid w:val="013456BD"/>
    <w:rsid w:val="0178305B"/>
    <w:rsid w:val="0185498B"/>
    <w:rsid w:val="018A1427"/>
    <w:rsid w:val="018D7895"/>
    <w:rsid w:val="01A54C4A"/>
    <w:rsid w:val="01AB6048"/>
    <w:rsid w:val="01D97946"/>
    <w:rsid w:val="02190AA3"/>
    <w:rsid w:val="02572601"/>
    <w:rsid w:val="025B6F6D"/>
    <w:rsid w:val="02922F6E"/>
    <w:rsid w:val="02ED09C3"/>
    <w:rsid w:val="0394658D"/>
    <w:rsid w:val="03997186"/>
    <w:rsid w:val="03BA7874"/>
    <w:rsid w:val="03FB3196"/>
    <w:rsid w:val="0473320E"/>
    <w:rsid w:val="04806207"/>
    <w:rsid w:val="04AD3DAA"/>
    <w:rsid w:val="04B425C4"/>
    <w:rsid w:val="0517180A"/>
    <w:rsid w:val="05187C22"/>
    <w:rsid w:val="05215027"/>
    <w:rsid w:val="05571F68"/>
    <w:rsid w:val="05592FE6"/>
    <w:rsid w:val="05750799"/>
    <w:rsid w:val="06352B3C"/>
    <w:rsid w:val="06357858"/>
    <w:rsid w:val="06A3134D"/>
    <w:rsid w:val="06AD2B52"/>
    <w:rsid w:val="06D009BB"/>
    <w:rsid w:val="06FC0D31"/>
    <w:rsid w:val="06FE22CF"/>
    <w:rsid w:val="070B2816"/>
    <w:rsid w:val="07A92018"/>
    <w:rsid w:val="07CA07CF"/>
    <w:rsid w:val="07EB0E6D"/>
    <w:rsid w:val="07F615C4"/>
    <w:rsid w:val="084D31AF"/>
    <w:rsid w:val="086D2622"/>
    <w:rsid w:val="08861123"/>
    <w:rsid w:val="08B374B6"/>
    <w:rsid w:val="08F07F5B"/>
    <w:rsid w:val="08FA424A"/>
    <w:rsid w:val="0949606C"/>
    <w:rsid w:val="096F71CA"/>
    <w:rsid w:val="099E2C10"/>
    <w:rsid w:val="0A042B2D"/>
    <w:rsid w:val="0A3107DC"/>
    <w:rsid w:val="0A7E353F"/>
    <w:rsid w:val="0AE31100"/>
    <w:rsid w:val="0B006D33"/>
    <w:rsid w:val="0B160435"/>
    <w:rsid w:val="0B6D73EF"/>
    <w:rsid w:val="0B81776F"/>
    <w:rsid w:val="0B8A6A12"/>
    <w:rsid w:val="0BB73761"/>
    <w:rsid w:val="0BCF1A6D"/>
    <w:rsid w:val="0BF91683"/>
    <w:rsid w:val="0C227D34"/>
    <w:rsid w:val="0C6629AC"/>
    <w:rsid w:val="0C677512"/>
    <w:rsid w:val="0C824D94"/>
    <w:rsid w:val="0CBA30DC"/>
    <w:rsid w:val="0CCC73F8"/>
    <w:rsid w:val="0D093F37"/>
    <w:rsid w:val="0D3B7FAA"/>
    <w:rsid w:val="0D450893"/>
    <w:rsid w:val="0D8818DD"/>
    <w:rsid w:val="0DFC5D03"/>
    <w:rsid w:val="0E6A4ABA"/>
    <w:rsid w:val="0ECA2A5F"/>
    <w:rsid w:val="0ECD2D97"/>
    <w:rsid w:val="0ECF31C5"/>
    <w:rsid w:val="0F007304"/>
    <w:rsid w:val="0F653C89"/>
    <w:rsid w:val="0FAA5372"/>
    <w:rsid w:val="108F536D"/>
    <w:rsid w:val="10EE0717"/>
    <w:rsid w:val="10F62635"/>
    <w:rsid w:val="11553800"/>
    <w:rsid w:val="11634536"/>
    <w:rsid w:val="117B2F24"/>
    <w:rsid w:val="11996503"/>
    <w:rsid w:val="119A3D32"/>
    <w:rsid w:val="11D37251"/>
    <w:rsid w:val="11DE2D99"/>
    <w:rsid w:val="122574AF"/>
    <w:rsid w:val="12E27917"/>
    <w:rsid w:val="130E3F08"/>
    <w:rsid w:val="132B29F8"/>
    <w:rsid w:val="13411924"/>
    <w:rsid w:val="13637DFC"/>
    <w:rsid w:val="13923A6C"/>
    <w:rsid w:val="139D37C7"/>
    <w:rsid w:val="13D55358"/>
    <w:rsid w:val="13F34833"/>
    <w:rsid w:val="142B65BF"/>
    <w:rsid w:val="14460D25"/>
    <w:rsid w:val="144846D5"/>
    <w:rsid w:val="14A27B25"/>
    <w:rsid w:val="14E87A7F"/>
    <w:rsid w:val="14EF1875"/>
    <w:rsid w:val="151B4D60"/>
    <w:rsid w:val="15552100"/>
    <w:rsid w:val="15F91405"/>
    <w:rsid w:val="1606315B"/>
    <w:rsid w:val="162D6677"/>
    <w:rsid w:val="164F6905"/>
    <w:rsid w:val="16804E96"/>
    <w:rsid w:val="175C078D"/>
    <w:rsid w:val="17950BEF"/>
    <w:rsid w:val="179C4E75"/>
    <w:rsid w:val="17C942A7"/>
    <w:rsid w:val="17D363F7"/>
    <w:rsid w:val="185805A4"/>
    <w:rsid w:val="18734116"/>
    <w:rsid w:val="18A651B7"/>
    <w:rsid w:val="18E80F44"/>
    <w:rsid w:val="1904075A"/>
    <w:rsid w:val="190A3122"/>
    <w:rsid w:val="192F3F32"/>
    <w:rsid w:val="19397AAF"/>
    <w:rsid w:val="19452469"/>
    <w:rsid w:val="194722E7"/>
    <w:rsid w:val="19606846"/>
    <w:rsid w:val="19A35324"/>
    <w:rsid w:val="19BF614F"/>
    <w:rsid w:val="19F422B4"/>
    <w:rsid w:val="1A6239C6"/>
    <w:rsid w:val="1AAB13B3"/>
    <w:rsid w:val="1AAC634A"/>
    <w:rsid w:val="1B141163"/>
    <w:rsid w:val="1B293607"/>
    <w:rsid w:val="1B4A0109"/>
    <w:rsid w:val="1B797F1F"/>
    <w:rsid w:val="1BFD2C31"/>
    <w:rsid w:val="1C8054A9"/>
    <w:rsid w:val="1C9F7D02"/>
    <w:rsid w:val="1CAF251B"/>
    <w:rsid w:val="1CB808B9"/>
    <w:rsid w:val="1CC74614"/>
    <w:rsid w:val="1CCE7826"/>
    <w:rsid w:val="1CDB4E2C"/>
    <w:rsid w:val="1CE27F12"/>
    <w:rsid w:val="1D144321"/>
    <w:rsid w:val="1D894E59"/>
    <w:rsid w:val="1DCF1D91"/>
    <w:rsid w:val="1DD15C98"/>
    <w:rsid w:val="1DD51824"/>
    <w:rsid w:val="1E067C30"/>
    <w:rsid w:val="1E6C0BD3"/>
    <w:rsid w:val="1EA4295F"/>
    <w:rsid w:val="1EE31F1A"/>
    <w:rsid w:val="1EF5681E"/>
    <w:rsid w:val="1F0514E0"/>
    <w:rsid w:val="1F665001"/>
    <w:rsid w:val="1F702630"/>
    <w:rsid w:val="1F977FD2"/>
    <w:rsid w:val="203E1903"/>
    <w:rsid w:val="20992DB4"/>
    <w:rsid w:val="20DD111C"/>
    <w:rsid w:val="21080B88"/>
    <w:rsid w:val="21451225"/>
    <w:rsid w:val="21DD6EFA"/>
    <w:rsid w:val="220D77DF"/>
    <w:rsid w:val="223034CD"/>
    <w:rsid w:val="227B4AF5"/>
    <w:rsid w:val="22846F00"/>
    <w:rsid w:val="22A3483C"/>
    <w:rsid w:val="22CC077F"/>
    <w:rsid w:val="22DB5B2F"/>
    <w:rsid w:val="22DF4094"/>
    <w:rsid w:val="22F8223D"/>
    <w:rsid w:val="23295D91"/>
    <w:rsid w:val="236509A9"/>
    <w:rsid w:val="239038B8"/>
    <w:rsid w:val="23A758EB"/>
    <w:rsid w:val="23D20962"/>
    <w:rsid w:val="23D706B8"/>
    <w:rsid w:val="23ED096D"/>
    <w:rsid w:val="24023E4C"/>
    <w:rsid w:val="24403D5B"/>
    <w:rsid w:val="248410C6"/>
    <w:rsid w:val="24BC69C4"/>
    <w:rsid w:val="24D05501"/>
    <w:rsid w:val="25C7479E"/>
    <w:rsid w:val="25E76C66"/>
    <w:rsid w:val="25E87A4B"/>
    <w:rsid w:val="25FE1F57"/>
    <w:rsid w:val="26284BE7"/>
    <w:rsid w:val="262F3B44"/>
    <w:rsid w:val="26D728CC"/>
    <w:rsid w:val="26E31456"/>
    <w:rsid w:val="274A6DDF"/>
    <w:rsid w:val="27595FEA"/>
    <w:rsid w:val="2774155F"/>
    <w:rsid w:val="27F136FF"/>
    <w:rsid w:val="28091366"/>
    <w:rsid w:val="2811047F"/>
    <w:rsid w:val="28813C00"/>
    <w:rsid w:val="28BD3EE7"/>
    <w:rsid w:val="28FE22D0"/>
    <w:rsid w:val="28FF035C"/>
    <w:rsid w:val="294966C5"/>
    <w:rsid w:val="295B4BE8"/>
    <w:rsid w:val="296E6346"/>
    <w:rsid w:val="2985758F"/>
    <w:rsid w:val="298A4054"/>
    <w:rsid w:val="2A20564D"/>
    <w:rsid w:val="2A4E1C4B"/>
    <w:rsid w:val="2A6B55B4"/>
    <w:rsid w:val="2AA947C1"/>
    <w:rsid w:val="2ACE1AD5"/>
    <w:rsid w:val="2B513EE7"/>
    <w:rsid w:val="2B950607"/>
    <w:rsid w:val="2BDF3BA3"/>
    <w:rsid w:val="2C387B4E"/>
    <w:rsid w:val="2C3D1144"/>
    <w:rsid w:val="2C555D7A"/>
    <w:rsid w:val="2C6A7FFC"/>
    <w:rsid w:val="2CC61F2C"/>
    <w:rsid w:val="2CD018EC"/>
    <w:rsid w:val="2CD30EEF"/>
    <w:rsid w:val="2CE76AB2"/>
    <w:rsid w:val="2CE94D6D"/>
    <w:rsid w:val="2D095047"/>
    <w:rsid w:val="2D333D9D"/>
    <w:rsid w:val="2E187C37"/>
    <w:rsid w:val="2E922896"/>
    <w:rsid w:val="2EDA0EB7"/>
    <w:rsid w:val="2F6C16FA"/>
    <w:rsid w:val="2F7A47EC"/>
    <w:rsid w:val="2F9B0B20"/>
    <w:rsid w:val="300C4BCC"/>
    <w:rsid w:val="30202DD3"/>
    <w:rsid w:val="304E0B54"/>
    <w:rsid w:val="309D719E"/>
    <w:rsid w:val="30BE3F5C"/>
    <w:rsid w:val="31044BEE"/>
    <w:rsid w:val="319546C0"/>
    <w:rsid w:val="319A626C"/>
    <w:rsid w:val="31D34D2E"/>
    <w:rsid w:val="31F403D5"/>
    <w:rsid w:val="32136C7B"/>
    <w:rsid w:val="32384404"/>
    <w:rsid w:val="32430FFB"/>
    <w:rsid w:val="32533A86"/>
    <w:rsid w:val="3273368E"/>
    <w:rsid w:val="3275245D"/>
    <w:rsid w:val="32A50A13"/>
    <w:rsid w:val="32BA66DC"/>
    <w:rsid w:val="32F114C4"/>
    <w:rsid w:val="332E5807"/>
    <w:rsid w:val="337C585D"/>
    <w:rsid w:val="33BC1065"/>
    <w:rsid w:val="33CB4108"/>
    <w:rsid w:val="343210C8"/>
    <w:rsid w:val="34F14D3E"/>
    <w:rsid w:val="34F71B6C"/>
    <w:rsid w:val="350031D3"/>
    <w:rsid w:val="35206342"/>
    <w:rsid w:val="35540098"/>
    <w:rsid w:val="35E328D9"/>
    <w:rsid w:val="35F13A8D"/>
    <w:rsid w:val="368208BE"/>
    <w:rsid w:val="36BE752E"/>
    <w:rsid w:val="36D12B1B"/>
    <w:rsid w:val="36FA437E"/>
    <w:rsid w:val="372353D9"/>
    <w:rsid w:val="37D83F93"/>
    <w:rsid w:val="37EB7469"/>
    <w:rsid w:val="37FC0B16"/>
    <w:rsid w:val="383C2774"/>
    <w:rsid w:val="385029C8"/>
    <w:rsid w:val="38593C76"/>
    <w:rsid w:val="38A5396D"/>
    <w:rsid w:val="38AD04BA"/>
    <w:rsid w:val="39691347"/>
    <w:rsid w:val="39BE2CAE"/>
    <w:rsid w:val="3A3F4F71"/>
    <w:rsid w:val="3A4B6C9E"/>
    <w:rsid w:val="3A886381"/>
    <w:rsid w:val="3ABD2F60"/>
    <w:rsid w:val="3AFB3033"/>
    <w:rsid w:val="3B212B71"/>
    <w:rsid w:val="3B423839"/>
    <w:rsid w:val="3BC1540C"/>
    <w:rsid w:val="3BE5745E"/>
    <w:rsid w:val="3C100DDD"/>
    <w:rsid w:val="3C3C455C"/>
    <w:rsid w:val="3CAB7EC8"/>
    <w:rsid w:val="3CC75C8A"/>
    <w:rsid w:val="3D29177C"/>
    <w:rsid w:val="3DA144CC"/>
    <w:rsid w:val="3DE418E4"/>
    <w:rsid w:val="3E486AC0"/>
    <w:rsid w:val="3EA40469"/>
    <w:rsid w:val="3EB43064"/>
    <w:rsid w:val="3EC84510"/>
    <w:rsid w:val="3F4F5483"/>
    <w:rsid w:val="3F5356B7"/>
    <w:rsid w:val="3FA4132B"/>
    <w:rsid w:val="3FF46335"/>
    <w:rsid w:val="3FF63FEE"/>
    <w:rsid w:val="3FFF66E0"/>
    <w:rsid w:val="404F2629"/>
    <w:rsid w:val="40C00F66"/>
    <w:rsid w:val="40C91E6A"/>
    <w:rsid w:val="40D43B12"/>
    <w:rsid w:val="40E67721"/>
    <w:rsid w:val="4192578C"/>
    <w:rsid w:val="41A63B4C"/>
    <w:rsid w:val="41AC44C7"/>
    <w:rsid w:val="41FD2F74"/>
    <w:rsid w:val="420E2C01"/>
    <w:rsid w:val="42176008"/>
    <w:rsid w:val="42897620"/>
    <w:rsid w:val="428C0621"/>
    <w:rsid w:val="429107C7"/>
    <w:rsid w:val="43160791"/>
    <w:rsid w:val="43437349"/>
    <w:rsid w:val="435042A4"/>
    <w:rsid w:val="435F12AB"/>
    <w:rsid w:val="438B2968"/>
    <w:rsid w:val="44990318"/>
    <w:rsid w:val="451A6A30"/>
    <w:rsid w:val="451C61D2"/>
    <w:rsid w:val="45223261"/>
    <w:rsid w:val="45B9587B"/>
    <w:rsid w:val="460C0745"/>
    <w:rsid w:val="468012B9"/>
    <w:rsid w:val="46B868DE"/>
    <w:rsid w:val="46CD6280"/>
    <w:rsid w:val="46D87B0C"/>
    <w:rsid w:val="46EB6271"/>
    <w:rsid w:val="470D6C07"/>
    <w:rsid w:val="47186590"/>
    <w:rsid w:val="47584B66"/>
    <w:rsid w:val="478430E5"/>
    <w:rsid w:val="479A532E"/>
    <w:rsid w:val="47D2176E"/>
    <w:rsid w:val="47D66741"/>
    <w:rsid w:val="47DC327B"/>
    <w:rsid w:val="48181D3F"/>
    <w:rsid w:val="48305F8F"/>
    <w:rsid w:val="485578E8"/>
    <w:rsid w:val="4863059E"/>
    <w:rsid w:val="48AE4FC8"/>
    <w:rsid w:val="49582EF7"/>
    <w:rsid w:val="49D85C36"/>
    <w:rsid w:val="49EB7B56"/>
    <w:rsid w:val="4A4754D4"/>
    <w:rsid w:val="4AC529E4"/>
    <w:rsid w:val="4AF34F14"/>
    <w:rsid w:val="4B3D6AD7"/>
    <w:rsid w:val="4B6A57E6"/>
    <w:rsid w:val="4BAC1DE4"/>
    <w:rsid w:val="4BBB220E"/>
    <w:rsid w:val="4BC11DD5"/>
    <w:rsid w:val="4BC90A28"/>
    <w:rsid w:val="4BE535AF"/>
    <w:rsid w:val="4C0309AF"/>
    <w:rsid w:val="4C0F4BC6"/>
    <w:rsid w:val="4C152386"/>
    <w:rsid w:val="4C746DC9"/>
    <w:rsid w:val="4C7612A4"/>
    <w:rsid w:val="4C8A387B"/>
    <w:rsid w:val="4CC457CA"/>
    <w:rsid w:val="4CE26757"/>
    <w:rsid w:val="4D16715E"/>
    <w:rsid w:val="4D5A084B"/>
    <w:rsid w:val="4D7169A0"/>
    <w:rsid w:val="4DB94229"/>
    <w:rsid w:val="4DE90EB2"/>
    <w:rsid w:val="4DF00BE6"/>
    <w:rsid w:val="4E1B4E0F"/>
    <w:rsid w:val="4E50267E"/>
    <w:rsid w:val="4E507CF8"/>
    <w:rsid w:val="4E772300"/>
    <w:rsid w:val="4E84293E"/>
    <w:rsid w:val="4E9A3D51"/>
    <w:rsid w:val="4F196F13"/>
    <w:rsid w:val="4F281DE6"/>
    <w:rsid w:val="4F56747D"/>
    <w:rsid w:val="4FA35EF6"/>
    <w:rsid w:val="4FA51844"/>
    <w:rsid w:val="4FA72771"/>
    <w:rsid w:val="4FED4575"/>
    <w:rsid w:val="501112F3"/>
    <w:rsid w:val="50204561"/>
    <w:rsid w:val="506634E2"/>
    <w:rsid w:val="50F6202F"/>
    <w:rsid w:val="514B4DA3"/>
    <w:rsid w:val="51586419"/>
    <w:rsid w:val="517C47AD"/>
    <w:rsid w:val="518B234A"/>
    <w:rsid w:val="51F41470"/>
    <w:rsid w:val="522119B0"/>
    <w:rsid w:val="523F4F7E"/>
    <w:rsid w:val="52493F12"/>
    <w:rsid w:val="525C6A03"/>
    <w:rsid w:val="52657E4B"/>
    <w:rsid w:val="529008D3"/>
    <w:rsid w:val="52B87DC4"/>
    <w:rsid w:val="52C061DC"/>
    <w:rsid w:val="533C1FF3"/>
    <w:rsid w:val="538E6819"/>
    <w:rsid w:val="53944910"/>
    <w:rsid w:val="53C16078"/>
    <w:rsid w:val="53FE70AC"/>
    <w:rsid w:val="54214EF1"/>
    <w:rsid w:val="54332DE4"/>
    <w:rsid w:val="544A600A"/>
    <w:rsid w:val="5466366B"/>
    <w:rsid w:val="549B5123"/>
    <w:rsid w:val="54B21203"/>
    <w:rsid w:val="54C65ED7"/>
    <w:rsid w:val="54D933CD"/>
    <w:rsid w:val="55272969"/>
    <w:rsid w:val="552D1A7A"/>
    <w:rsid w:val="55E80984"/>
    <w:rsid w:val="56031F51"/>
    <w:rsid w:val="560D2865"/>
    <w:rsid w:val="5610696E"/>
    <w:rsid w:val="561666BB"/>
    <w:rsid w:val="564478AA"/>
    <w:rsid w:val="56660170"/>
    <w:rsid w:val="567E1F8B"/>
    <w:rsid w:val="56981EDE"/>
    <w:rsid w:val="56C67981"/>
    <w:rsid w:val="56D0168F"/>
    <w:rsid w:val="56F72798"/>
    <w:rsid w:val="57216237"/>
    <w:rsid w:val="574E60B9"/>
    <w:rsid w:val="575D7DA8"/>
    <w:rsid w:val="57D63BF4"/>
    <w:rsid w:val="585729AA"/>
    <w:rsid w:val="585A6187"/>
    <w:rsid w:val="594A6647"/>
    <w:rsid w:val="5965438F"/>
    <w:rsid w:val="596F2552"/>
    <w:rsid w:val="59771406"/>
    <w:rsid w:val="5980147C"/>
    <w:rsid w:val="59B96491"/>
    <w:rsid w:val="59D15A79"/>
    <w:rsid w:val="5A18199E"/>
    <w:rsid w:val="5A53200A"/>
    <w:rsid w:val="5AFA65F2"/>
    <w:rsid w:val="5B7C37AD"/>
    <w:rsid w:val="5BE07CF7"/>
    <w:rsid w:val="5BF6641E"/>
    <w:rsid w:val="5C58746F"/>
    <w:rsid w:val="5C693288"/>
    <w:rsid w:val="5C996F22"/>
    <w:rsid w:val="5CD85D8E"/>
    <w:rsid w:val="5CE964FA"/>
    <w:rsid w:val="5D096819"/>
    <w:rsid w:val="5D520E23"/>
    <w:rsid w:val="5D827F28"/>
    <w:rsid w:val="5DBF0709"/>
    <w:rsid w:val="5E0560B1"/>
    <w:rsid w:val="5E662A50"/>
    <w:rsid w:val="5E954B94"/>
    <w:rsid w:val="5EAA6DDD"/>
    <w:rsid w:val="5EDF69B5"/>
    <w:rsid w:val="5F054A8A"/>
    <w:rsid w:val="5F1C797A"/>
    <w:rsid w:val="5F333C4D"/>
    <w:rsid w:val="5F8E4BBC"/>
    <w:rsid w:val="60107395"/>
    <w:rsid w:val="601B5B7C"/>
    <w:rsid w:val="603B6ED0"/>
    <w:rsid w:val="604F3526"/>
    <w:rsid w:val="60640733"/>
    <w:rsid w:val="60B938A7"/>
    <w:rsid w:val="60F31823"/>
    <w:rsid w:val="61693D2A"/>
    <w:rsid w:val="617D3332"/>
    <w:rsid w:val="618A2CF5"/>
    <w:rsid w:val="618F5102"/>
    <w:rsid w:val="623D76BC"/>
    <w:rsid w:val="62554195"/>
    <w:rsid w:val="62BA4A9B"/>
    <w:rsid w:val="62F31AFE"/>
    <w:rsid w:val="62FD6475"/>
    <w:rsid w:val="63133D3B"/>
    <w:rsid w:val="632A4FD2"/>
    <w:rsid w:val="63E864CE"/>
    <w:rsid w:val="63F50F97"/>
    <w:rsid w:val="645D122F"/>
    <w:rsid w:val="647C37ED"/>
    <w:rsid w:val="6503095F"/>
    <w:rsid w:val="65817895"/>
    <w:rsid w:val="65A75498"/>
    <w:rsid w:val="65C75922"/>
    <w:rsid w:val="66082630"/>
    <w:rsid w:val="661E2331"/>
    <w:rsid w:val="66242E74"/>
    <w:rsid w:val="66256DBE"/>
    <w:rsid w:val="66263F98"/>
    <w:rsid w:val="662F73D9"/>
    <w:rsid w:val="672B2A1C"/>
    <w:rsid w:val="679A36C1"/>
    <w:rsid w:val="67AE693B"/>
    <w:rsid w:val="688046EB"/>
    <w:rsid w:val="68A3581D"/>
    <w:rsid w:val="68B83318"/>
    <w:rsid w:val="68EF564B"/>
    <w:rsid w:val="69153E98"/>
    <w:rsid w:val="69482A87"/>
    <w:rsid w:val="698B7412"/>
    <w:rsid w:val="69E112BA"/>
    <w:rsid w:val="6A1C5DDE"/>
    <w:rsid w:val="6A252130"/>
    <w:rsid w:val="6A4244E3"/>
    <w:rsid w:val="6A464C09"/>
    <w:rsid w:val="6A644A10"/>
    <w:rsid w:val="6A807A58"/>
    <w:rsid w:val="6A8C58DC"/>
    <w:rsid w:val="6AB46CB2"/>
    <w:rsid w:val="6B0F511D"/>
    <w:rsid w:val="6B264B93"/>
    <w:rsid w:val="6B641EFB"/>
    <w:rsid w:val="6B6B39F8"/>
    <w:rsid w:val="6B7A391D"/>
    <w:rsid w:val="6B8A4808"/>
    <w:rsid w:val="6B992596"/>
    <w:rsid w:val="6BBB2BF7"/>
    <w:rsid w:val="6BD2012D"/>
    <w:rsid w:val="6BE715B0"/>
    <w:rsid w:val="6BEC7A32"/>
    <w:rsid w:val="6BF508F9"/>
    <w:rsid w:val="6C892E40"/>
    <w:rsid w:val="6CC4275D"/>
    <w:rsid w:val="6CE54BAD"/>
    <w:rsid w:val="6CF93DD1"/>
    <w:rsid w:val="6D9D5A27"/>
    <w:rsid w:val="6DA34120"/>
    <w:rsid w:val="6DAF3D04"/>
    <w:rsid w:val="6E005A16"/>
    <w:rsid w:val="6E3B7CC5"/>
    <w:rsid w:val="6E7A4BB0"/>
    <w:rsid w:val="6EB60DB1"/>
    <w:rsid w:val="6EBA27FC"/>
    <w:rsid w:val="6EE67438"/>
    <w:rsid w:val="6EEE47E4"/>
    <w:rsid w:val="6F092906"/>
    <w:rsid w:val="6F29686B"/>
    <w:rsid w:val="6F42262A"/>
    <w:rsid w:val="6F683873"/>
    <w:rsid w:val="6FC860C0"/>
    <w:rsid w:val="704065AE"/>
    <w:rsid w:val="704111F0"/>
    <w:rsid w:val="706202C3"/>
    <w:rsid w:val="707E20CA"/>
    <w:rsid w:val="70AC7683"/>
    <w:rsid w:val="70F90BEE"/>
    <w:rsid w:val="7168451A"/>
    <w:rsid w:val="71687B5B"/>
    <w:rsid w:val="71E0220F"/>
    <w:rsid w:val="727B1B10"/>
    <w:rsid w:val="729D717D"/>
    <w:rsid w:val="72D134DE"/>
    <w:rsid w:val="72E36945"/>
    <w:rsid w:val="7326196A"/>
    <w:rsid w:val="73825D0F"/>
    <w:rsid w:val="741B336E"/>
    <w:rsid w:val="742D56BA"/>
    <w:rsid w:val="74577BDA"/>
    <w:rsid w:val="74805D4F"/>
    <w:rsid w:val="749D3FBF"/>
    <w:rsid w:val="74C0081A"/>
    <w:rsid w:val="74C12A19"/>
    <w:rsid w:val="74F77D7C"/>
    <w:rsid w:val="74FD680C"/>
    <w:rsid w:val="750202C6"/>
    <w:rsid w:val="751E3C85"/>
    <w:rsid w:val="75466405"/>
    <w:rsid w:val="75694192"/>
    <w:rsid w:val="75E34125"/>
    <w:rsid w:val="76032B3C"/>
    <w:rsid w:val="760857B3"/>
    <w:rsid w:val="76280111"/>
    <w:rsid w:val="76974C39"/>
    <w:rsid w:val="76A24AC9"/>
    <w:rsid w:val="76BC3479"/>
    <w:rsid w:val="76C801C3"/>
    <w:rsid w:val="76CF2455"/>
    <w:rsid w:val="76DF2CF0"/>
    <w:rsid w:val="76E41A31"/>
    <w:rsid w:val="770C0F88"/>
    <w:rsid w:val="77534137"/>
    <w:rsid w:val="777D1A19"/>
    <w:rsid w:val="77B979B7"/>
    <w:rsid w:val="77F80533"/>
    <w:rsid w:val="785E0134"/>
    <w:rsid w:val="78746DE5"/>
    <w:rsid w:val="78880BA7"/>
    <w:rsid w:val="78E71B69"/>
    <w:rsid w:val="7923201D"/>
    <w:rsid w:val="793E7AB7"/>
    <w:rsid w:val="79817A0B"/>
    <w:rsid w:val="79877C2F"/>
    <w:rsid w:val="79E22CEC"/>
    <w:rsid w:val="79ED1918"/>
    <w:rsid w:val="7A716556"/>
    <w:rsid w:val="7B185464"/>
    <w:rsid w:val="7B2965AD"/>
    <w:rsid w:val="7B380D29"/>
    <w:rsid w:val="7B602CAE"/>
    <w:rsid w:val="7BBB4D2B"/>
    <w:rsid w:val="7C171732"/>
    <w:rsid w:val="7C217284"/>
    <w:rsid w:val="7C340013"/>
    <w:rsid w:val="7C783006"/>
    <w:rsid w:val="7CA04F8E"/>
    <w:rsid w:val="7D354DB9"/>
    <w:rsid w:val="7D624692"/>
    <w:rsid w:val="7D8F1563"/>
    <w:rsid w:val="7D9A72EE"/>
    <w:rsid w:val="7E097387"/>
    <w:rsid w:val="7E142EA9"/>
    <w:rsid w:val="7E580601"/>
    <w:rsid w:val="7E871F93"/>
    <w:rsid w:val="7EB10D93"/>
    <w:rsid w:val="7EBF4B32"/>
    <w:rsid w:val="7F1B3F20"/>
    <w:rsid w:val="7F3B4608"/>
    <w:rsid w:val="7FCE5961"/>
    <w:rsid w:val="7FDD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4"/>
    <w:basedOn w:val="1"/>
    <w:next w:val="1"/>
    <w:qFormat/>
    <w:uiPriority w:val="0"/>
    <w:pPr>
      <w:widowControl/>
      <w:pBdr>
        <w:top w:val="dotted" w:color="4F81BD" w:sz="6" w:space="2"/>
        <w:left w:val="dotted" w:color="4F81BD" w:sz="6" w:space="2"/>
      </w:pBdr>
      <w:spacing w:before="300"/>
      <w:jc w:val="left"/>
      <w:outlineLvl w:val="3"/>
    </w:pPr>
    <w:rPr>
      <w:rFonts w:ascii="Calibri" w:hAnsi="Calibri"/>
      <w:caps/>
      <w:color w:val="365F91"/>
      <w:spacing w:val="10"/>
      <w:kern w:val="0"/>
      <w:sz w:val="22"/>
      <w:szCs w:val="22"/>
      <w:lang w:eastAsia="en-US" w:bidi="en-US"/>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szCs w:val="20"/>
    </w:rPr>
  </w:style>
  <w:style w:type="paragraph" w:styleId="5">
    <w:name w:val="Plain Text"/>
    <w:basedOn w:val="1"/>
    <w:next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unhideWhenUsed/>
    <w:qFormat/>
    <w:uiPriority w:val="39"/>
    <w:pPr>
      <w:ind w:left="420" w:leftChars="200"/>
    </w:p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0"/>
    <w:rPr>
      <w:i/>
    </w:rPr>
  </w:style>
  <w:style w:type="character" w:customStyle="1" w:styleId="14">
    <w:name w:val="font81"/>
    <w:basedOn w:val="12"/>
    <w:qFormat/>
    <w:uiPriority w:val="0"/>
    <w:rPr>
      <w:rFonts w:ascii="Arial" w:hAnsi="Arial" w:cs="Arial"/>
      <w:color w:val="000000"/>
      <w:sz w:val="20"/>
      <w:szCs w:val="20"/>
      <w:u w:val="none"/>
    </w:rPr>
  </w:style>
  <w:style w:type="character" w:customStyle="1" w:styleId="15">
    <w:name w:val="font21"/>
    <w:basedOn w:val="12"/>
    <w:qFormat/>
    <w:uiPriority w:val="0"/>
    <w:rPr>
      <w:rFonts w:hint="eastAsia" w:ascii="微软雅黑" w:hAnsi="微软雅黑" w:eastAsia="微软雅黑" w:cs="微软雅黑"/>
      <w:color w:val="000000"/>
      <w:sz w:val="20"/>
      <w:szCs w:val="20"/>
      <w:u w:val="none"/>
    </w:rPr>
  </w:style>
  <w:style w:type="paragraph" w:customStyle="1" w:styleId="16">
    <w:name w:val="WPSOffice手动目录 1"/>
    <w:qFormat/>
    <w:uiPriority w:val="0"/>
    <w:rPr>
      <w:rFonts w:ascii="Times New Roman" w:hAnsi="Times New Roman" w:eastAsia="宋体" w:cs="Times New Roman"/>
      <w:lang w:val="en-US" w:eastAsia="zh-CN" w:bidi="ar-SA"/>
    </w:rPr>
  </w:style>
  <w:style w:type="character" w:customStyle="1" w:styleId="17">
    <w:name w:val="font31"/>
    <w:basedOn w:val="12"/>
    <w:qFormat/>
    <w:uiPriority w:val="0"/>
    <w:rPr>
      <w:rFonts w:hint="eastAsia" w:ascii="仿宋" w:hAnsi="仿宋" w:eastAsia="仿宋" w:cs="仿宋"/>
      <w:color w:val="000000"/>
      <w:sz w:val="21"/>
      <w:szCs w:val="21"/>
      <w:u w:val="none"/>
    </w:rPr>
  </w:style>
  <w:style w:type="character" w:customStyle="1" w:styleId="18">
    <w:name w:val="font51"/>
    <w:basedOn w:val="12"/>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1051</Words>
  <Characters>1136</Characters>
  <Lines>0</Lines>
  <Paragraphs>0</Paragraphs>
  <TotalTime>29</TotalTime>
  <ScaleCrop>false</ScaleCrop>
  <LinksUpToDate>false</LinksUpToDate>
  <CharactersWithSpaces>1180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2022-06-18T08:20:00Z</dcterms:created>
  <dc:creator>HPI</dc:creator>
  <cp:lastModifiedBy>杨忠达</cp:lastModifiedBy>
  <cp:lastPrinted>2022-09-08T09:14:00Z</cp:lastPrinted>
  <dcterms:modified xsi:type="dcterms:W3CDTF">2024-09-18T05:13:46Z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89D40FF318974F49A127CA806C3E49DA</vt:lpwstr>
  </property>
</Properties>
</file>